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锡林郭勒盟2024年三季度</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b/>
          <w:bCs/>
          <w:color w:val="auto"/>
          <w:sz w:val="32"/>
          <w:szCs w:val="32"/>
          <w:highlight w:val="none"/>
        </w:rPr>
      </w:pPr>
      <w:r>
        <w:rPr>
          <w:rFonts w:hint="eastAsia" w:ascii="方正小标宋简体" w:hAnsi="方正小标宋简体" w:eastAsia="方正小标宋简体" w:cs="方正小标宋简体"/>
          <w:b w:val="0"/>
          <w:bCs w:val="0"/>
          <w:color w:val="auto"/>
          <w:sz w:val="44"/>
          <w:szCs w:val="44"/>
          <w:highlight w:val="none"/>
          <w:lang w:val="en-US" w:eastAsia="zh-CN"/>
        </w:rPr>
        <w:t>人力资源市场供求状况分析报告</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黑体" w:hAnsi="黑体" w:eastAsia="黑体" w:cs="黑体"/>
          <w:b w:val="0"/>
          <w:bCs w:val="0"/>
          <w:color w:val="auto"/>
          <w:sz w:val="32"/>
          <w:szCs w:val="32"/>
          <w:highlight w:val="none"/>
          <w:lang w:eastAsia="zh-CN"/>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一、</w:t>
      </w:r>
      <w:r>
        <w:rPr>
          <w:rFonts w:hint="eastAsia" w:ascii="黑体" w:hAnsi="黑体" w:eastAsia="黑体" w:cs="黑体"/>
          <w:b w:val="0"/>
          <w:bCs w:val="0"/>
          <w:color w:val="auto"/>
          <w:sz w:val="32"/>
          <w:szCs w:val="32"/>
          <w:highlight w:val="none"/>
        </w:rPr>
        <w:t>供求总体情况</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全盟第三季度需求人数11550人，求职人数7235人，求人倍率为1.60，市场用工需求略大于劳动力供给。</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与上一季度相比，需求人数减少了3481人，环比下降23.16%，求职人数下降了4462人，环比下降38.15%；求人倍率与上季度相比环比上升0.31。</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与去年同期相比，需求人数减少了365人，同比下降3.06%，求职人数减少了332人，同比下降4.39%，求人倍率与去年同期同比上升0.03。</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表1. 供求总体情况</w:t>
      </w:r>
    </w:p>
    <w:tbl>
      <w:tblPr>
        <w:tblStyle w:val="9"/>
        <w:tblW w:w="4964"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1399"/>
        <w:gridCol w:w="1629"/>
        <w:gridCol w:w="1564"/>
        <w:gridCol w:w="1180"/>
        <w:gridCol w:w="1483"/>
        <w:gridCol w:w="158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235" w:hRule="atLeast"/>
          <w:tblCellSpacing w:w="0" w:type="dxa"/>
          <w:jc w:val="center"/>
        </w:trPr>
        <w:tc>
          <w:tcPr>
            <w:tcW w:w="79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p>
        </w:tc>
        <w:tc>
          <w:tcPr>
            <w:tcW w:w="92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需求人数(人)</w:t>
            </w:r>
          </w:p>
        </w:tc>
        <w:tc>
          <w:tcPr>
            <w:tcW w:w="88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求职人数(人)</w:t>
            </w:r>
          </w:p>
        </w:tc>
        <w:tc>
          <w:tcPr>
            <w:tcW w:w="66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求人倍率</w:t>
            </w:r>
          </w:p>
        </w:tc>
        <w:tc>
          <w:tcPr>
            <w:tcW w:w="83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与上季度相比变化(%)</w:t>
            </w:r>
          </w:p>
        </w:tc>
        <w:tc>
          <w:tcPr>
            <w:tcW w:w="89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与去年同期相比变化(%)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63" w:hRule="atLeast"/>
          <w:tblCellSpacing w:w="0" w:type="dxa"/>
          <w:jc w:val="center"/>
        </w:trPr>
        <w:tc>
          <w:tcPr>
            <w:tcW w:w="79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本期有效数</w:t>
            </w:r>
          </w:p>
        </w:tc>
        <w:tc>
          <w:tcPr>
            <w:tcW w:w="92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11550</w:t>
            </w:r>
          </w:p>
        </w:tc>
        <w:tc>
          <w:tcPr>
            <w:tcW w:w="88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7235</w:t>
            </w:r>
          </w:p>
        </w:tc>
        <w:tc>
          <w:tcPr>
            <w:tcW w:w="66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1.60</w:t>
            </w:r>
          </w:p>
        </w:tc>
        <w:tc>
          <w:tcPr>
            <w:tcW w:w="83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0.31</w:t>
            </w:r>
          </w:p>
        </w:tc>
        <w:tc>
          <w:tcPr>
            <w:tcW w:w="89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0.03</w:t>
            </w:r>
          </w:p>
        </w:tc>
      </w:tr>
    </w:tbl>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黑体" w:hAnsi="黑体" w:eastAsia="黑体" w:cs="黑体"/>
          <w:b w:val="0"/>
          <w:bCs w:val="0"/>
          <w:color w:val="auto"/>
          <w:sz w:val="32"/>
          <w:szCs w:val="32"/>
          <w:highlight w:val="none"/>
          <w:lang w:eastAsia="zh-CN"/>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黑体" w:hAnsi="黑体" w:eastAsia="黑体" w:cs="黑体"/>
          <w:b w:val="0"/>
          <w:bCs w:val="0"/>
          <w:color w:val="auto"/>
          <w:sz w:val="32"/>
          <w:szCs w:val="32"/>
          <w:highlight w:val="none"/>
          <w:lang w:eastAsia="zh-CN"/>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二、按产业、行业劳动力需求</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本期第一产业需求人数305人，第二产业需求人数2521人，第三产业需求人数8724人；第一产业所占比重为2.64%，第二产业占21.83%，第三产业占75.53%。</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与上一季度相比，第一产业需求环比增加了34.36%，第二产业环比增加了2.69%，第三产业环比减少了29.35%。</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与去年同期相比，第一产业需求同比增加了6.27%，第二产业同比增加了12.39%，第三产业同比下降了7.04%。</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eastAsia="宋体"/>
          <w:color w:val="auto"/>
          <w:highlight w:val="none"/>
          <w:lang w:eastAsia="zh-CN"/>
        </w:rPr>
      </w:pPr>
      <w:r>
        <w:rPr>
          <w:rFonts w:hint="eastAsia" w:ascii="Times New Roman" w:hAnsi="Times New Roman" w:eastAsia="仿宋_GB2312" w:cs="Times New Roman"/>
          <w:color w:val="auto"/>
          <w:kern w:val="2"/>
          <w:sz w:val="28"/>
          <w:szCs w:val="28"/>
          <w:highlight w:val="none"/>
          <w:lang w:val="en-US" w:eastAsia="zh-CN" w:bidi="ar-SA"/>
        </w:rPr>
        <w:t>表2. 按产业分组的需求人数</w:t>
      </w:r>
    </w:p>
    <w:tbl>
      <w:tblPr>
        <w:tblStyle w:val="9"/>
        <w:tblpPr w:leftFromText="180" w:rightFromText="180" w:vertAnchor="text" w:horzAnchor="page" w:tblpX="1664" w:tblpY="162"/>
        <w:tblOverlap w:val="never"/>
        <w:tblW w:w="4998"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1792"/>
        <w:gridCol w:w="1425"/>
        <w:gridCol w:w="1389"/>
        <w:gridCol w:w="2116"/>
        <w:gridCol w:w="217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0" w:type="dxa"/>
        </w:trPr>
        <w:tc>
          <w:tcPr>
            <w:tcW w:w="100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产业</w:t>
            </w:r>
          </w:p>
        </w:tc>
        <w:tc>
          <w:tcPr>
            <w:tcW w:w="80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需求人数 (人)</w:t>
            </w:r>
          </w:p>
        </w:tc>
        <w:tc>
          <w:tcPr>
            <w:tcW w:w="78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所占比重 (%)</w:t>
            </w:r>
          </w:p>
        </w:tc>
        <w:tc>
          <w:tcPr>
            <w:tcW w:w="118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与上季度相比需求变化(%)</w:t>
            </w:r>
          </w:p>
        </w:tc>
        <w:tc>
          <w:tcPr>
            <w:tcW w:w="122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与去年同期相比需求变化(%)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0" w:type="dxa"/>
        </w:trPr>
        <w:tc>
          <w:tcPr>
            <w:tcW w:w="100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bookmarkStart w:id="0" w:name="OLE_LINK2" w:colFirst="1" w:colLast="1"/>
            <w:r>
              <w:rPr>
                <w:rFonts w:hint="eastAsia" w:ascii="Times New Roman" w:hAnsi="Times New Roman" w:eastAsia="仿宋_GB2312" w:cs="Times New Roman"/>
                <w:b/>
                <w:bCs/>
                <w:color w:val="auto"/>
                <w:kern w:val="2"/>
                <w:sz w:val="24"/>
                <w:szCs w:val="24"/>
                <w:highlight w:val="none"/>
                <w:lang w:val="en-US" w:eastAsia="zh-CN" w:bidi="ar-SA"/>
              </w:rPr>
              <w:t>第一产业</w:t>
            </w:r>
          </w:p>
        </w:tc>
        <w:tc>
          <w:tcPr>
            <w:tcW w:w="142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305</w:t>
            </w:r>
          </w:p>
        </w:tc>
        <w:tc>
          <w:tcPr>
            <w:tcW w:w="138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2.64</w:t>
            </w:r>
          </w:p>
        </w:tc>
        <w:tc>
          <w:tcPr>
            <w:tcW w:w="211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34.36</w:t>
            </w:r>
          </w:p>
        </w:tc>
        <w:tc>
          <w:tcPr>
            <w:tcW w:w="217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6.27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0" w:type="dxa"/>
        </w:trPr>
        <w:tc>
          <w:tcPr>
            <w:tcW w:w="100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第二产业</w:t>
            </w:r>
          </w:p>
        </w:tc>
        <w:tc>
          <w:tcPr>
            <w:tcW w:w="142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2,521</w:t>
            </w:r>
          </w:p>
        </w:tc>
        <w:tc>
          <w:tcPr>
            <w:tcW w:w="138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21.83</w:t>
            </w:r>
          </w:p>
        </w:tc>
        <w:tc>
          <w:tcPr>
            <w:tcW w:w="211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2.69</w:t>
            </w:r>
          </w:p>
        </w:tc>
        <w:tc>
          <w:tcPr>
            <w:tcW w:w="217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12.39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0" w:type="dxa"/>
        </w:trPr>
        <w:tc>
          <w:tcPr>
            <w:tcW w:w="100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第三产业</w:t>
            </w:r>
          </w:p>
        </w:tc>
        <w:tc>
          <w:tcPr>
            <w:tcW w:w="142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8,724</w:t>
            </w:r>
          </w:p>
        </w:tc>
        <w:tc>
          <w:tcPr>
            <w:tcW w:w="138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75.53</w:t>
            </w:r>
          </w:p>
        </w:tc>
        <w:tc>
          <w:tcPr>
            <w:tcW w:w="211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-29.35</w:t>
            </w:r>
          </w:p>
        </w:tc>
        <w:tc>
          <w:tcPr>
            <w:tcW w:w="217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-7.04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0" w:type="dxa"/>
        </w:trPr>
        <w:tc>
          <w:tcPr>
            <w:tcW w:w="100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合计</w:t>
            </w:r>
          </w:p>
        </w:tc>
        <w:tc>
          <w:tcPr>
            <w:tcW w:w="142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11,550</w:t>
            </w:r>
          </w:p>
        </w:tc>
        <w:tc>
          <w:tcPr>
            <w:tcW w:w="138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highlight w:val="none"/>
                <w:u w:val="none"/>
                <w:lang w:val="en-US" w:eastAsia="zh-CN" w:bidi="ar"/>
              </w:rPr>
              <w:t>100</w:t>
            </w:r>
          </w:p>
        </w:tc>
        <w:tc>
          <w:tcPr>
            <w:tcW w:w="211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-23.16</w:t>
            </w:r>
          </w:p>
        </w:tc>
        <w:tc>
          <w:tcPr>
            <w:tcW w:w="217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-3.06</w:t>
            </w:r>
          </w:p>
        </w:tc>
      </w:tr>
      <w:bookmarkEnd w:id="0"/>
    </w:tbl>
    <w:p>
      <w:pPr>
        <w:pStyle w:val="2"/>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0" w:firstLineChars="0"/>
        <w:jc w:val="center"/>
        <w:rPr>
          <w:rFonts w:hint="eastAsia" w:eastAsia="宋体"/>
          <w:color w:val="C00000"/>
          <w:highlight w:val="none"/>
          <w:lang w:eastAsia="zh-CN"/>
        </w:rPr>
      </w:pPr>
    </w:p>
    <w:p>
      <w:pPr>
        <w:pStyle w:val="2"/>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0" w:firstLineChars="0"/>
        <w:jc w:val="center"/>
        <w:rPr>
          <w:color w:val="C00000"/>
          <w:highlight w:val="none"/>
        </w:rPr>
        <w:sectPr>
          <w:footerReference r:id="rId3" w:type="default"/>
          <w:pgSz w:w="11906" w:h="16838"/>
          <w:pgMar w:top="2098" w:right="1474" w:bottom="1984" w:left="1587" w:header="851" w:footer="992" w:gutter="0"/>
          <w:pgNumType w:fmt="decimal"/>
          <w:cols w:space="425" w:num="1"/>
          <w:docGrid w:type="lines" w:linePitch="312" w:charSpace="0"/>
        </w:sect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48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eastAsia="宋体"/>
          <w:color w:val="C00000"/>
          <w:highlight w:val="none"/>
          <w:lang w:eastAsia="zh-CN"/>
        </w:rPr>
        <w:drawing>
          <wp:anchor distT="0" distB="0" distL="114300" distR="114300" simplePos="0" relativeHeight="251664384" behindDoc="0" locked="0" layoutInCell="1" allowOverlap="1">
            <wp:simplePos x="0" y="0"/>
            <wp:positionH relativeFrom="column">
              <wp:posOffset>145415</wp:posOffset>
            </wp:positionH>
            <wp:positionV relativeFrom="paragraph">
              <wp:posOffset>81280</wp:posOffset>
            </wp:positionV>
            <wp:extent cx="5306695" cy="3552825"/>
            <wp:effectExtent l="4445" t="4445" r="22860" b="508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按行业分，住宿和餐饮业占比18.62%，居民服务、修理和其他服务业占比17.89%，批发和零售业占比12.65%，交通运输、仓储和邮政业占比11.97%，制造业占比11.02%，采矿业占比5.56%，信息传输、软件和信息技术服务业占比5.09%，电力、热力、燃气及水生产和供应业占比4.10%，农、林、牧、渔业占比2.90%，租赁和商务服务业占比2.01%，教育占比1.82%，建筑业占比1.81%，房地产业占比1.75%。</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季度相比，建筑业，批发和零售业，住宿和餐饮业，租赁和商务服务业，居民服务、修理和其他服务业，教育，文化、体育和娱乐业，公共管理、社会保障和社会组织需求有所下降，其余等与上季度相比均有所上升。</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C00000"/>
          <w:kern w:val="2"/>
          <w:sz w:val="28"/>
          <w:szCs w:val="28"/>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去年同期相比，制造业，批发和零售业，金融业，房地产业，租赁和商务服务业，居民服务、修理和其他服务业，教育，文化、体育和娱乐业，公共管理、社会保障和社会组织有所下降，其余等与去年同期相比均有所上升。</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color w:val="C00000"/>
          <w:kern w:val="2"/>
          <w:sz w:val="28"/>
          <w:szCs w:val="28"/>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表3. 按行业分组的需求人数</w:t>
      </w:r>
    </w:p>
    <w:tbl>
      <w:tblPr>
        <w:tblStyle w:val="9"/>
        <w:tblW w:w="9216"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3557"/>
        <w:gridCol w:w="1310"/>
        <w:gridCol w:w="996"/>
        <w:gridCol w:w="1538"/>
        <w:gridCol w:w="181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86"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00" w:lineRule="atLeast"/>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行 业</w:t>
            </w:r>
          </w:p>
        </w:tc>
        <w:tc>
          <w:tcPr>
            <w:tcW w:w="71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00" w:lineRule="atLeast"/>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需求人数 (人)</w:t>
            </w:r>
          </w:p>
        </w:tc>
        <w:tc>
          <w:tcPr>
            <w:tcW w:w="54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00" w:lineRule="atLeast"/>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所占比重 (%)</w:t>
            </w:r>
          </w:p>
        </w:tc>
        <w:tc>
          <w:tcPr>
            <w:tcW w:w="83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00" w:lineRule="atLeast"/>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与上季度相比需求变化(%)</w:t>
            </w:r>
          </w:p>
        </w:tc>
        <w:tc>
          <w:tcPr>
            <w:tcW w:w="98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00" w:lineRule="atLeast"/>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与去年同期相比需求变化(%)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bookmarkStart w:id="1" w:name="OLE_LINK12" w:colFirst="1" w:colLast="1"/>
            <w:r>
              <w:rPr>
                <w:rFonts w:hint="eastAsia" w:ascii="Times New Roman" w:hAnsi="Times New Roman" w:eastAsia="仿宋_GB2312" w:cs="Times New Roman"/>
                <w:b/>
                <w:bCs/>
                <w:color w:val="auto"/>
                <w:kern w:val="2"/>
                <w:sz w:val="24"/>
                <w:szCs w:val="24"/>
                <w:highlight w:val="none"/>
                <w:lang w:val="en-US" w:eastAsia="zh-CN" w:bidi="ar-SA"/>
              </w:rPr>
              <w:t>农、林、牧、渔业</w:t>
            </w:r>
          </w:p>
        </w:tc>
        <w:tc>
          <w:tcPr>
            <w:tcW w:w="71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335</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cs="Times New Roman"/>
                <w:i w:val="0"/>
                <w:iCs w:val="0"/>
                <w:color w:val="auto"/>
                <w:kern w:val="0"/>
                <w:sz w:val="24"/>
                <w:szCs w:val="24"/>
                <w:highlight w:val="none"/>
                <w:u w:val="none"/>
                <w:lang w:val="en-US" w:eastAsia="zh-CN" w:bidi="ar"/>
              </w:rPr>
              <w:t>2.90</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cs="Times New Roman"/>
                <w:i w:val="0"/>
                <w:iCs w:val="0"/>
                <w:color w:val="auto"/>
                <w:kern w:val="0"/>
                <w:sz w:val="24"/>
                <w:szCs w:val="24"/>
                <w:highlight w:val="none"/>
                <w:u w:val="none"/>
                <w:lang w:val="en-US" w:eastAsia="zh-CN" w:bidi="ar"/>
              </w:rPr>
              <w:t>28.35</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cs="Times New Roman"/>
                <w:i w:val="0"/>
                <w:iCs w:val="0"/>
                <w:color w:val="auto"/>
                <w:kern w:val="0"/>
                <w:sz w:val="24"/>
                <w:szCs w:val="24"/>
                <w:highlight w:val="none"/>
                <w:u w:val="none"/>
                <w:lang w:val="en-US" w:eastAsia="zh-CN" w:bidi="ar"/>
              </w:rPr>
              <w:t>15.92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采矿业</w:t>
            </w:r>
          </w:p>
        </w:tc>
        <w:tc>
          <w:tcPr>
            <w:tcW w:w="71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642</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5.56</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cs="Times New Roman"/>
                <w:i w:val="0"/>
                <w:iCs w:val="0"/>
                <w:color w:val="auto"/>
                <w:kern w:val="0"/>
                <w:sz w:val="24"/>
                <w:szCs w:val="24"/>
                <w:highlight w:val="none"/>
                <w:u w:val="none"/>
                <w:lang w:val="en-US" w:eastAsia="zh-CN" w:bidi="ar"/>
              </w:rPr>
              <w:t>45.58</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cs="Times New Roman"/>
                <w:i w:val="0"/>
                <w:iCs w:val="0"/>
                <w:color w:val="auto"/>
                <w:kern w:val="0"/>
                <w:sz w:val="24"/>
                <w:szCs w:val="24"/>
                <w:highlight w:val="none"/>
                <w:u w:val="none"/>
                <w:lang w:val="en-US" w:eastAsia="zh-CN" w:bidi="ar"/>
              </w:rPr>
              <w:t>74.46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制造业</w:t>
            </w:r>
          </w:p>
        </w:tc>
        <w:tc>
          <w:tcPr>
            <w:tcW w:w="71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12</w:t>
            </w:r>
            <w:r>
              <w:rPr>
                <w:rFonts w:hint="eastAsia" w:ascii="Times New Roman" w:hAnsi="Times New Roman" w:eastAsia="仿宋_GB2312" w:cs="Times New Roman"/>
                <w:color w:val="auto"/>
                <w:kern w:val="2"/>
                <w:sz w:val="24"/>
                <w:szCs w:val="24"/>
                <w:highlight w:val="none"/>
                <w:lang w:val="en-US" w:eastAsia="zh-CN" w:bidi="ar-SA"/>
              </w:rPr>
              <w:t>73</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11.02</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cs="Times New Roman"/>
                <w:i w:val="0"/>
                <w:iCs w:val="0"/>
                <w:color w:val="auto"/>
                <w:kern w:val="0"/>
                <w:sz w:val="24"/>
                <w:szCs w:val="24"/>
                <w:highlight w:val="none"/>
                <w:u w:val="none"/>
                <w:lang w:val="en-US" w:eastAsia="zh-CN" w:bidi="ar"/>
              </w:rPr>
              <w:t>0.47</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-3</w:t>
            </w:r>
            <w:r>
              <w:rPr>
                <w:rFonts w:hint="eastAsia" w:ascii="Times New Roman" w:hAnsi="Times New Roman" w:cs="Times New Roman"/>
                <w:i w:val="0"/>
                <w:iCs w:val="0"/>
                <w:color w:val="auto"/>
                <w:kern w:val="0"/>
                <w:sz w:val="24"/>
                <w:szCs w:val="24"/>
                <w:highlight w:val="none"/>
                <w:u w:val="none"/>
                <w:lang w:val="en-US" w:eastAsia="zh-CN" w:bidi="ar"/>
              </w:rPr>
              <w:t>1.67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2"/>
                <w:szCs w:val="22"/>
                <w:highlight w:val="none"/>
                <w:lang w:val="en-US" w:eastAsia="zh-CN" w:bidi="ar-SA"/>
              </w:rPr>
              <w:t>电力、热力、燃气及水生产和供应业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474</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4.10</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17.33</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1.28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建筑业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209</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1.81</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-74.32</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24.40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批发和零售业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1,461</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12.65</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-43.55</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-18.79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交通运输、仓储和邮政业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1,382</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11.97</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49.41</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145.04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住宿和餐饮业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2,151</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18.62</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-25.23</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26.31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信息传输、软件和信息技术服务业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588</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5.09</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38.03</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87.86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金融业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40</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0.35</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110.53</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-85.02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房地产业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202</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1.75</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85.32</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-65.59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租赁和商务服务业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232</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2.01</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-41.71</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-55.89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科学研究和技术服务业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0.08</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水利、环境和公共设施管理业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109</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0.94</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5.83</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581.25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居民服务、修理和其他服务业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2,066</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17.89</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-41.22</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-14.45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教育</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210</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1.82</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-68.75</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-14.98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卫生和社会工作</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74</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0.64</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39.62</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94.74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文化、体育和娱乐业</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44</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0.38</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-56.00</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-78.54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22"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公共管理、社会保障和社会组织</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49</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0.42</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-16.95</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-33.78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30"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国际组织</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0.00</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330" w:hRule="atLeast"/>
          <w:tblCellSpacing w:w="0" w:type="dxa"/>
          <w:jc w:val="center"/>
        </w:trPr>
        <w:tc>
          <w:tcPr>
            <w:tcW w:w="192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spacing w:line="360" w:lineRule="auto"/>
              <w:jc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合计</w:t>
            </w:r>
          </w:p>
        </w:tc>
        <w:tc>
          <w:tcPr>
            <w:tcW w:w="131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11,550</w:t>
            </w:r>
          </w:p>
        </w:tc>
        <w:tc>
          <w:tcPr>
            <w:tcW w:w="99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highlight w:val="none"/>
                <w:u w:val="none"/>
                <w:lang w:val="en-US" w:eastAsia="zh-CN" w:bidi="ar"/>
              </w:rPr>
              <w:t>100</w:t>
            </w:r>
          </w:p>
        </w:tc>
        <w:tc>
          <w:tcPr>
            <w:tcW w:w="153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-23.16</w:t>
            </w:r>
          </w:p>
        </w:tc>
        <w:tc>
          <w:tcPr>
            <w:tcW w:w="1815"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-3.06</w:t>
            </w:r>
          </w:p>
        </w:tc>
      </w:tr>
      <w:bookmarkEnd w:id="1"/>
    </w:tbl>
    <w:p>
      <w:pPr>
        <w:pStyle w:val="2"/>
        <w:ind w:left="0" w:leftChars="0" w:firstLine="0" w:firstLineChars="0"/>
        <w:rPr>
          <w:color w:val="C00000"/>
          <w:highlight w:val="none"/>
        </w:rPr>
        <w:sectPr>
          <w:pgSz w:w="11906" w:h="16838"/>
          <w:pgMar w:top="2098" w:right="1474" w:bottom="2041" w:left="1587" w:header="851" w:footer="992" w:gutter="0"/>
          <w:pgNumType w:fmt="decimal"/>
          <w:cols w:space="425" w:num="1"/>
          <w:docGrid w:type="lines" w:linePitch="312" w:charSpace="0"/>
        </w:sectPr>
      </w:pPr>
    </w:p>
    <w:p>
      <w:pPr>
        <w:pStyle w:val="2"/>
        <w:ind w:left="0" w:leftChars="0" w:firstLine="0" w:firstLineChars="0"/>
        <w:rPr>
          <w:rFonts w:hint="eastAsia" w:eastAsia="宋体"/>
          <w:color w:val="C00000"/>
          <w:highlight w:val="none"/>
          <w:lang w:eastAsia="zh-CN"/>
        </w:rPr>
      </w:pPr>
      <w:r>
        <w:rPr>
          <w:rFonts w:hint="eastAsia"/>
          <w:color w:val="C00000"/>
          <w:highlight w:val="none"/>
          <w:lang w:val="en-US" w:eastAsia="zh-CN"/>
        </w:rPr>
        <w:t xml:space="preserve">     </w:t>
      </w:r>
      <w:r>
        <w:rPr>
          <w:rFonts w:hint="eastAsia" w:eastAsia="宋体"/>
          <w:color w:val="C00000"/>
          <w:highlight w:val="none"/>
          <w:lang w:eastAsia="zh-CN"/>
        </w:rPr>
        <w:drawing>
          <wp:inline distT="0" distB="0" distL="114300" distR="114300">
            <wp:extent cx="8314690" cy="5167630"/>
            <wp:effectExtent l="4445" t="4445" r="5715"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
        <w:ind w:left="0" w:leftChars="0" w:firstLine="0" w:firstLineChars="0"/>
        <w:rPr>
          <w:color w:val="C00000"/>
          <w:highlight w:val="none"/>
        </w:rPr>
        <w:sectPr>
          <w:pgSz w:w="16838" w:h="11906" w:orient="landscape"/>
          <w:pgMar w:top="1800" w:right="1440" w:bottom="1800" w:left="1440" w:header="851" w:footer="992" w:gutter="0"/>
          <w:pgNumType w:fmt="decimal"/>
          <w:cols w:space="425" w:num="1"/>
          <w:docGrid w:type="lines" w:linePitch="312" w:charSpace="0"/>
        </w:sect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三、用人单位需求情况</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按用人单位分，企业的用人需求在市场中占主导地位，所占比重高达98.73%，事业及机关单位需求占比为1.08%，其他需求占比0.19%。</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与上季度相比，企业需求人数环比下降了22.72%，事业单位需求人数环比上升了861.54%，其他需求环比下降了91.60%。</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与去年同期相比，企业需求人数同比下降了2.13%，事业单位需求人数同比上升了104.92%，其他需求同比下降了87.57%。</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从企业经济类型分内资企业占总企业需求的85.63%；在内资企业中，私营企业占比58.24%。个体经营占企业总需求的14.37%。</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与上一季度相比，内资企业需求人数环比下降了8.16%，个体经营需求人数环比下降了60.26%。</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与去年同期相比，内资企业需求人数同比上升了45.45%，个体经营需求人数同比下降了66.81%。</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C00000"/>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表4. 按经济类型分组的需求人数</w:t>
      </w:r>
    </w:p>
    <w:tbl>
      <w:tblPr>
        <w:tblStyle w:val="9"/>
        <w:tblW w:w="8446"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2374"/>
        <w:gridCol w:w="1200"/>
        <w:gridCol w:w="1171"/>
        <w:gridCol w:w="1769"/>
        <w:gridCol w:w="193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900"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经济类型</w:t>
            </w:r>
          </w:p>
        </w:tc>
        <w:tc>
          <w:tcPr>
            <w:tcW w:w="71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需求人数 (人)</w:t>
            </w:r>
          </w:p>
        </w:tc>
        <w:tc>
          <w:tcPr>
            <w:tcW w:w="69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所占比重 (%)</w:t>
            </w:r>
          </w:p>
        </w:tc>
        <w:tc>
          <w:tcPr>
            <w:tcW w:w="104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与上季度相比需求变化(%)</w:t>
            </w:r>
          </w:p>
        </w:tc>
        <w:tc>
          <w:tcPr>
            <w:tcW w:w="114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与去年同期相比需求变化(%)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bookmarkStart w:id="2" w:name="OLE_LINK13" w:colFirst="1" w:colLast="1"/>
            <w:r>
              <w:rPr>
                <w:rFonts w:hint="eastAsia" w:ascii="Times New Roman" w:hAnsi="Times New Roman" w:eastAsia="仿宋_GB2312" w:cs="Times New Roman"/>
                <w:b/>
                <w:bCs/>
                <w:color w:val="auto"/>
                <w:kern w:val="2"/>
                <w:sz w:val="24"/>
                <w:szCs w:val="24"/>
                <w:highlight w:val="none"/>
                <w:lang w:val="en-US" w:eastAsia="zh-CN" w:bidi="ar-SA"/>
              </w:rPr>
              <w:t>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11,403</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98.73</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-22.72</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-2.13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其中：内资企业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9,764</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85.63</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-8.16</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45.45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        国有企业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1,130</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9.91</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-3.91</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818.70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        集体企业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0.13</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15.38</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15.38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        股份合作企业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23</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0.20</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-61.67</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-89.15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        联营企业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0.00</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        有限责任公司</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780</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6.84</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-81.79</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-50.79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82"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        股份有限公司</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980</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8.59</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54.33</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64.43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        私营企业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6,641</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58.24</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53.66</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66.52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        其它企业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195</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1.71</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48.85</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-0.51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   港、澳、台投资企业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0.00</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     外商投资企业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0.00</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     个体经营</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1,639</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14.37</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-60.26</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-66.81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bookmarkStart w:id="3" w:name="OLE_LINK1" w:colFirst="2" w:colLast="2"/>
            <w:r>
              <w:rPr>
                <w:rFonts w:hint="eastAsia" w:ascii="Times New Roman" w:hAnsi="Times New Roman" w:eastAsia="仿宋_GB2312" w:cs="Times New Roman"/>
                <w:b/>
                <w:bCs/>
                <w:color w:val="auto"/>
                <w:kern w:val="2"/>
                <w:sz w:val="24"/>
                <w:szCs w:val="24"/>
                <w:highlight w:val="none"/>
                <w:lang w:val="en-US" w:eastAsia="zh-CN" w:bidi="ar-SA"/>
              </w:rPr>
              <w:t>事业</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125</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1.08</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861.54</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104.92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机关</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0.00</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其他</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0.19</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-91.60</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-87.57</w:t>
            </w:r>
          </w:p>
        </w:tc>
      </w:tr>
      <w:bookmarkEnd w:id="3"/>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67" w:hRule="atLeast"/>
          <w:tblCellSpacing w:w="0" w:type="dxa"/>
          <w:jc w:val="center"/>
        </w:trPr>
        <w:tc>
          <w:tcPr>
            <w:tcW w:w="1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合计</w:t>
            </w:r>
          </w:p>
        </w:tc>
        <w:tc>
          <w:tcPr>
            <w:tcW w:w="120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11,550</w:t>
            </w:r>
          </w:p>
        </w:tc>
        <w:tc>
          <w:tcPr>
            <w:tcW w:w="117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highlight w:val="none"/>
                <w:u w:val="none"/>
                <w:lang w:val="en-US" w:eastAsia="zh-CN" w:bidi="ar"/>
              </w:rPr>
              <w:t>100</w:t>
            </w:r>
          </w:p>
        </w:tc>
        <w:tc>
          <w:tcPr>
            <w:tcW w:w="17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-23.16</w:t>
            </w:r>
          </w:p>
        </w:tc>
        <w:tc>
          <w:tcPr>
            <w:tcW w:w="193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-3.06</w:t>
            </w:r>
          </w:p>
        </w:tc>
      </w:tr>
      <w:bookmarkEnd w:id="2"/>
    </w:tbl>
    <w:p>
      <w:pPr>
        <w:pStyle w:val="8"/>
        <w:spacing w:line="300" w:lineRule="atLeast"/>
        <w:jc w:val="both"/>
        <w:rPr>
          <w:rFonts w:hint="eastAsia"/>
          <w:color w:val="C00000"/>
          <w:sz w:val="28"/>
          <w:szCs w:val="28"/>
          <w:highlight w:val="none"/>
        </w:rPr>
      </w:pPr>
      <w:r>
        <w:rPr>
          <w:rFonts w:hint="eastAsia"/>
          <w:b/>
          <w:bCs/>
          <w:color w:val="C00000"/>
          <w:sz w:val="28"/>
          <w:szCs w:val="28"/>
          <w:highlight w:val="none"/>
          <w:lang w:eastAsia="zh-CN"/>
        </w:rPr>
        <w:drawing>
          <wp:anchor distT="0" distB="0" distL="114300" distR="114300" simplePos="0" relativeHeight="251661312" behindDoc="1" locked="0" layoutInCell="1" allowOverlap="1">
            <wp:simplePos x="0" y="0"/>
            <wp:positionH relativeFrom="column">
              <wp:posOffset>248920</wp:posOffset>
            </wp:positionH>
            <wp:positionV relativeFrom="paragraph">
              <wp:posOffset>4151630</wp:posOffset>
            </wp:positionV>
            <wp:extent cx="5046980" cy="3830955"/>
            <wp:effectExtent l="4445" t="4445" r="15875" b="12700"/>
            <wp:wrapTight wrapText="bothSides">
              <wp:wrapPolygon>
                <wp:start x="-19" y="-25"/>
                <wp:lineTo x="-19" y="21564"/>
                <wp:lineTo x="21505" y="21564"/>
                <wp:lineTo x="21505" y="-25"/>
                <wp:lineTo x="-19" y="-25"/>
              </wp:wrapPolygon>
            </wp:wrapTight>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b/>
          <w:bCs/>
          <w:color w:val="C00000"/>
          <w:sz w:val="28"/>
          <w:szCs w:val="28"/>
          <w:highlight w:val="none"/>
          <w:lang w:eastAsia="zh-CN"/>
        </w:rPr>
        <w:drawing>
          <wp:anchor distT="0" distB="0" distL="114300" distR="114300" simplePos="0" relativeHeight="251660288" behindDoc="0" locked="0" layoutInCell="1" allowOverlap="1">
            <wp:simplePos x="0" y="0"/>
            <wp:positionH relativeFrom="column">
              <wp:posOffset>280670</wp:posOffset>
            </wp:positionH>
            <wp:positionV relativeFrom="paragraph">
              <wp:posOffset>-1905</wp:posOffset>
            </wp:positionV>
            <wp:extent cx="4983480" cy="3957955"/>
            <wp:effectExtent l="5080" t="4445" r="21590" b="1905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8"/>
        <w:spacing w:line="300" w:lineRule="atLeast"/>
        <w:jc w:val="center"/>
        <w:rPr>
          <w:rFonts w:hint="eastAsia"/>
          <w:color w:val="C00000"/>
          <w:sz w:val="28"/>
          <w:szCs w:val="28"/>
          <w:highlight w:val="none"/>
        </w:rPr>
        <w:sectPr>
          <w:pgSz w:w="11906" w:h="16838"/>
          <w:pgMar w:top="2098" w:right="1474" w:bottom="2041" w:left="1587" w:header="851" w:footer="992" w:gutter="0"/>
          <w:pgNumType w:fmt="decimal"/>
          <w:cols w:space="425" w:num="1"/>
          <w:docGrid w:type="lines" w:linePitch="312" w:charSpace="0"/>
        </w:sect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四</w:t>
      </w:r>
      <w:r>
        <w:rPr>
          <w:rFonts w:hint="eastAsia" w:ascii="黑体" w:hAnsi="黑体" w:eastAsia="黑体" w:cs="黑体"/>
          <w:b w:val="0"/>
          <w:bCs w:val="0"/>
          <w:color w:val="auto"/>
          <w:sz w:val="32"/>
          <w:szCs w:val="32"/>
          <w:highlight w:val="none"/>
          <w:lang w:val="en-US" w:eastAsia="zh-CN"/>
        </w:rPr>
        <w:t>、</w:t>
      </w:r>
      <w:r>
        <w:rPr>
          <w:rFonts w:hint="eastAsia" w:ascii="黑体" w:hAnsi="黑体" w:eastAsia="黑体" w:cs="黑体"/>
          <w:b w:val="0"/>
          <w:bCs w:val="0"/>
          <w:color w:val="auto"/>
          <w:sz w:val="32"/>
          <w:szCs w:val="32"/>
          <w:highlight w:val="none"/>
          <w:lang w:eastAsia="zh-CN"/>
        </w:rPr>
        <w:t>按职业供求情况分析</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按职业分组需求情况看，办事人员和有关人员占比27.26%，社会生产服务和生活服务人员占比26.74%；生产制造及有关人员占比16.70%，专业技术人员占比8.32%，农林牧渔业生产及辅助人员占比0.80%，单位负责人占比0.35%，其他占比19.84%。</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一季度相比，从职业分组需求看，社会生产服务和生活服务人员，生产制造及有关人员和其他组别的需求人数分别环比增加了3.69%，0.42%，54.03%，其余均有所减少。与去年同期相比，单位负责人，专业技术人员，农林牧渔业生产及辅助人员的需求人数分别同比减少了62.96%，48.91%，22.03%，其余均有所上升。</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求职者中，与上一季度相比，单位负责人和生产制造及有关人员的求职人数分别环比上升50%，4.65%，其余均有所下降。与去年同期相比，办事人员和有关人员，生产制造及有关人员求职人数分别同比上升10.29%，37.79%，其余均有所下降。</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Times New Roman" w:hAnsi="Times New Roman" w:eastAsia="仿宋_GB2312" w:cs="Times New Roman"/>
          <w:color w:val="C00000"/>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Times New Roman" w:hAnsi="Times New Roman" w:eastAsia="仿宋_GB2312" w:cs="Times New Roman"/>
          <w:color w:val="C00000"/>
          <w:kern w:val="2"/>
          <w:sz w:val="32"/>
          <w:szCs w:val="32"/>
          <w:highlight w:val="none"/>
          <w:lang w:val="en-US" w:eastAsia="zh-CN" w:bidi="ar-SA"/>
        </w:rPr>
        <w:sectPr>
          <w:pgSz w:w="11906" w:h="16838"/>
          <w:pgMar w:top="2098" w:right="1474" w:bottom="2041" w:left="1587" w:header="851" w:footer="992" w:gutter="0"/>
          <w:pgNumType w:fmt="decimal"/>
          <w:cols w:space="425" w:num="1"/>
          <w:docGrid w:type="lines" w:linePitch="312" w:charSpace="0"/>
        </w:sect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表5. 按职业分组的供求人数</w:t>
      </w:r>
    </w:p>
    <w:tbl>
      <w:tblPr>
        <w:tblStyle w:val="9"/>
        <w:tblW w:w="4997"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2594"/>
        <w:gridCol w:w="863"/>
        <w:gridCol w:w="905"/>
        <w:gridCol w:w="1102"/>
        <w:gridCol w:w="1278"/>
        <w:gridCol w:w="853"/>
        <w:gridCol w:w="937"/>
        <w:gridCol w:w="1102"/>
        <w:gridCol w:w="1286"/>
        <w:gridCol w:w="850"/>
        <w:gridCol w:w="1046"/>
        <w:gridCol w:w="116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0" w:type="dxa"/>
          <w:jc w:val="center"/>
        </w:trPr>
        <w:tc>
          <w:tcPr>
            <w:tcW w:w="928" w:type="pct"/>
            <w:vMerge w:val="restar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职业类别</w:t>
            </w:r>
          </w:p>
        </w:tc>
        <w:tc>
          <w:tcPr>
            <w:tcW w:w="4071" w:type="pct"/>
            <w:gridSpan w:val="11"/>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劳动力供求人数比较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560" w:hRule="atLeast"/>
          <w:tblCellSpacing w:w="0" w:type="dxa"/>
          <w:jc w:val="center"/>
        </w:trPr>
        <w:tc>
          <w:tcPr>
            <w:tcW w:w="928" w:type="pct"/>
            <w:vMerge w:val="continue"/>
            <w:tcBorders>
              <w:top w:val="outset" w:color="auto" w:sz="6" w:space="0"/>
              <w:left w:val="outset" w:color="auto" w:sz="6" w:space="0"/>
              <w:bottom w:val="outset" w:color="auto" w:sz="6" w:space="0"/>
              <w:right w:val="outset" w:color="auto" w:sz="6" w:space="0"/>
            </w:tcBorders>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p>
        </w:tc>
        <w:tc>
          <w:tcPr>
            <w:tcW w:w="30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需求人数(人)</w:t>
            </w:r>
          </w:p>
        </w:tc>
        <w:tc>
          <w:tcPr>
            <w:tcW w:w="32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需求比重 (%)</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与上季度相比需求变化（%)</w:t>
            </w:r>
          </w:p>
        </w:tc>
        <w:tc>
          <w:tcPr>
            <w:tcW w:w="45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与去年同期相比需求变化（%)</w:t>
            </w:r>
          </w:p>
        </w:tc>
        <w:tc>
          <w:tcPr>
            <w:tcW w:w="3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 人数(人)</w:t>
            </w: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求职比重 (%)</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与上季度相比求职变化（%)</w:t>
            </w:r>
          </w:p>
        </w:tc>
        <w:tc>
          <w:tcPr>
            <w:tcW w:w="4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与去年同期相比求职变化（%)</w:t>
            </w:r>
          </w:p>
        </w:tc>
        <w:tc>
          <w:tcPr>
            <w:tcW w:w="30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求人 倍率</w:t>
            </w:r>
          </w:p>
        </w:tc>
        <w:tc>
          <w:tcPr>
            <w:tcW w:w="37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 度相比 供求变化</w:t>
            </w:r>
          </w:p>
        </w:tc>
        <w:tc>
          <w:tcPr>
            <w:tcW w:w="41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与去年同期相比供求变化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10" w:hRule="atLeast"/>
          <w:tblCellSpacing w:w="0" w:type="dxa"/>
          <w:jc w:val="center"/>
        </w:trPr>
        <w:tc>
          <w:tcPr>
            <w:tcW w:w="92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bookmarkStart w:id="4" w:name="OLE_LINK16" w:colFirst="9" w:colLast="9"/>
            <w:bookmarkStart w:id="5" w:name="OLE_LINK14" w:colFirst="1" w:colLast="1"/>
            <w:bookmarkStart w:id="6" w:name="OLE_LINK15" w:colFirst="5" w:colLast="5"/>
            <w:r>
              <w:rPr>
                <w:rFonts w:hint="eastAsia" w:ascii="Times New Roman" w:hAnsi="Times New Roman" w:eastAsia="仿宋_GB2312" w:cs="Times New Roman"/>
                <w:b/>
                <w:bCs/>
                <w:color w:val="auto"/>
                <w:kern w:val="2"/>
                <w:sz w:val="24"/>
                <w:szCs w:val="24"/>
                <w:highlight w:val="none"/>
                <w:lang w:val="en-US" w:eastAsia="zh-CN" w:bidi="ar-SA"/>
              </w:rPr>
              <w:t>单位负责人</w:t>
            </w:r>
          </w:p>
        </w:tc>
        <w:tc>
          <w:tcPr>
            <w:tcW w:w="30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40</w:t>
            </w:r>
          </w:p>
        </w:tc>
        <w:tc>
          <w:tcPr>
            <w:tcW w:w="32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0.35</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-62.96</w:t>
            </w:r>
          </w:p>
        </w:tc>
        <w:tc>
          <w:tcPr>
            <w:tcW w:w="45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-62.96</w:t>
            </w:r>
          </w:p>
        </w:tc>
        <w:tc>
          <w:tcPr>
            <w:tcW w:w="3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w:t>
            </w: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0.12</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50.00</w:t>
            </w:r>
          </w:p>
        </w:tc>
        <w:tc>
          <w:tcPr>
            <w:tcW w:w="4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-90.11</w:t>
            </w:r>
          </w:p>
        </w:tc>
        <w:tc>
          <w:tcPr>
            <w:tcW w:w="30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3.21</w:t>
            </w:r>
          </w:p>
        </w:tc>
        <w:tc>
          <w:tcPr>
            <w:tcW w:w="37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-4.64</w:t>
            </w:r>
          </w:p>
        </w:tc>
        <w:tc>
          <w:tcPr>
            <w:tcW w:w="41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2.06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10" w:hRule="atLeast"/>
          <w:tblCellSpacing w:w="0" w:type="dxa"/>
          <w:jc w:val="center"/>
        </w:trPr>
        <w:tc>
          <w:tcPr>
            <w:tcW w:w="92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专业技术人员</w:t>
            </w:r>
          </w:p>
        </w:tc>
        <w:tc>
          <w:tcPr>
            <w:tcW w:w="30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961</w:t>
            </w:r>
          </w:p>
        </w:tc>
        <w:tc>
          <w:tcPr>
            <w:tcW w:w="32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8.32</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-34.67</w:t>
            </w:r>
          </w:p>
        </w:tc>
        <w:tc>
          <w:tcPr>
            <w:tcW w:w="45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-48.91</w:t>
            </w:r>
          </w:p>
        </w:tc>
        <w:tc>
          <w:tcPr>
            <w:tcW w:w="3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637</w:t>
            </w: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8.80</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-30.46</w:t>
            </w:r>
          </w:p>
        </w:tc>
        <w:tc>
          <w:tcPr>
            <w:tcW w:w="4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-36.68</w:t>
            </w:r>
          </w:p>
        </w:tc>
        <w:tc>
          <w:tcPr>
            <w:tcW w:w="30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1.34</w:t>
            </w:r>
          </w:p>
        </w:tc>
        <w:tc>
          <w:tcPr>
            <w:tcW w:w="37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-0.10</w:t>
            </w:r>
          </w:p>
        </w:tc>
        <w:tc>
          <w:tcPr>
            <w:tcW w:w="41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-0.44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10" w:hRule="atLeast"/>
          <w:tblCellSpacing w:w="0" w:type="dxa"/>
          <w:jc w:val="center"/>
        </w:trPr>
        <w:tc>
          <w:tcPr>
            <w:tcW w:w="92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办事人员和有关人员</w:t>
            </w:r>
          </w:p>
        </w:tc>
        <w:tc>
          <w:tcPr>
            <w:tcW w:w="30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3,148</w:t>
            </w:r>
          </w:p>
        </w:tc>
        <w:tc>
          <w:tcPr>
            <w:tcW w:w="32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27.26</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-54.72</w:t>
            </w:r>
          </w:p>
        </w:tc>
        <w:tc>
          <w:tcPr>
            <w:tcW w:w="45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20.61</w:t>
            </w:r>
          </w:p>
        </w:tc>
        <w:tc>
          <w:tcPr>
            <w:tcW w:w="3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1,822</w:t>
            </w: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25.18</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-50.38</w:t>
            </w:r>
          </w:p>
        </w:tc>
        <w:tc>
          <w:tcPr>
            <w:tcW w:w="4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10.29</w:t>
            </w:r>
          </w:p>
        </w:tc>
        <w:tc>
          <w:tcPr>
            <w:tcW w:w="30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1.51</w:t>
            </w:r>
          </w:p>
        </w:tc>
        <w:tc>
          <w:tcPr>
            <w:tcW w:w="37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-0.16</w:t>
            </w:r>
          </w:p>
        </w:tc>
        <w:tc>
          <w:tcPr>
            <w:tcW w:w="41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-0.01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10" w:hRule="atLeast"/>
          <w:tblCellSpacing w:w="0" w:type="dxa"/>
          <w:jc w:val="center"/>
        </w:trPr>
        <w:tc>
          <w:tcPr>
            <w:tcW w:w="92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spacing w:val="1"/>
                <w:w w:val="76"/>
                <w:kern w:val="0"/>
                <w:sz w:val="24"/>
                <w:szCs w:val="24"/>
                <w:highlight w:val="none"/>
                <w:fitText w:val="2400" w:id="2006327536"/>
                <w:lang w:val="en-US" w:eastAsia="zh-CN" w:bidi="ar-SA"/>
              </w:rPr>
              <w:t>社会生产服务和生活服务人</w:t>
            </w:r>
            <w:r>
              <w:rPr>
                <w:rFonts w:hint="eastAsia" w:ascii="Times New Roman" w:hAnsi="Times New Roman" w:eastAsia="仿宋_GB2312" w:cs="Times New Roman"/>
                <w:b/>
                <w:bCs/>
                <w:color w:val="auto"/>
                <w:spacing w:val="-3"/>
                <w:w w:val="76"/>
                <w:kern w:val="0"/>
                <w:sz w:val="24"/>
                <w:szCs w:val="24"/>
                <w:highlight w:val="none"/>
                <w:fitText w:val="2400" w:id="2006327536"/>
                <w:lang w:val="en-US" w:eastAsia="zh-CN" w:bidi="ar-SA"/>
              </w:rPr>
              <w:t>员</w:t>
            </w:r>
          </w:p>
        </w:tc>
        <w:tc>
          <w:tcPr>
            <w:tcW w:w="30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3,088</w:t>
            </w:r>
          </w:p>
        </w:tc>
        <w:tc>
          <w:tcPr>
            <w:tcW w:w="32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26.74</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3.69</w:t>
            </w:r>
          </w:p>
        </w:tc>
        <w:tc>
          <w:tcPr>
            <w:tcW w:w="45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1.78</w:t>
            </w:r>
          </w:p>
        </w:tc>
        <w:tc>
          <w:tcPr>
            <w:tcW w:w="3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1,425</w:t>
            </w: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19.70</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-54.40</w:t>
            </w:r>
          </w:p>
        </w:tc>
        <w:tc>
          <w:tcPr>
            <w:tcW w:w="4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-23.26</w:t>
            </w:r>
          </w:p>
        </w:tc>
        <w:tc>
          <w:tcPr>
            <w:tcW w:w="30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1.83</w:t>
            </w:r>
          </w:p>
        </w:tc>
        <w:tc>
          <w:tcPr>
            <w:tcW w:w="37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0.94</w:t>
            </w:r>
          </w:p>
        </w:tc>
        <w:tc>
          <w:tcPr>
            <w:tcW w:w="41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0.26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10" w:hRule="atLeast"/>
          <w:tblCellSpacing w:w="0" w:type="dxa"/>
          <w:jc w:val="center"/>
        </w:trPr>
        <w:tc>
          <w:tcPr>
            <w:tcW w:w="92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spacing w:val="0"/>
                <w:w w:val="83"/>
                <w:kern w:val="0"/>
                <w:sz w:val="24"/>
                <w:szCs w:val="24"/>
                <w:highlight w:val="none"/>
                <w:fitText w:val="2400" w:id="-1151379540"/>
                <w:lang w:val="en-US" w:eastAsia="zh-CN" w:bidi="ar-SA"/>
              </w:rPr>
              <w:t>农林牧渔业生产及辅助人员</w:t>
            </w:r>
          </w:p>
        </w:tc>
        <w:tc>
          <w:tcPr>
            <w:tcW w:w="30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92</w:t>
            </w:r>
          </w:p>
        </w:tc>
        <w:tc>
          <w:tcPr>
            <w:tcW w:w="32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0.80</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-18.58</w:t>
            </w:r>
          </w:p>
        </w:tc>
        <w:tc>
          <w:tcPr>
            <w:tcW w:w="45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-22.03</w:t>
            </w:r>
          </w:p>
        </w:tc>
        <w:tc>
          <w:tcPr>
            <w:tcW w:w="3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0.14</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-96.31</w:t>
            </w:r>
          </w:p>
        </w:tc>
        <w:tc>
          <w:tcPr>
            <w:tcW w:w="4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-87.80</w:t>
            </w:r>
          </w:p>
        </w:tc>
        <w:tc>
          <w:tcPr>
            <w:tcW w:w="30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5.14</w:t>
            </w:r>
          </w:p>
        </w:tc>
        <w:tc>
          <w:tcPr>
            <w:tcW w:w="37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4.74</w:t>
            </w:r>
          </w:p>
        </w:tc>
        <w:tc>
          <w:tcPr>
            <w:tcW w:w="41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3.75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10" w:hRule="atLeast"/>
          <w:tblCellSpacing w:w="0" w:type="dxa"/>
          <w:jc w:val="center"/>
        </w:trPr>
        <w:tc>
          <w:tcPr>
            <w:tcW w:w="92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生产制造及有关人员</w:t>
            </w:r>
          </w:p>
        </w:tc>
        <w:tc>
          <w:tcPr>
            <w:tcW w:w="30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1,929</w:t>
            </w:r>
          </w:p>
        </w:tc>
        <w:tc>
          <w:tcPr>
            <w:tcW w:w="32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16.70</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0.42</w:t>
            </w:r>
          </w:p>
        </w:tc>
        <w:tc>
          <w:tcPr>
            <w:tcW w:w="45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2.72</w:t>
            </w:r>
          </w:p>
        </w:tc>
        <w:tc>
          <w:tcPr>
            <w:tcW w:w="3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1,484</w:t>
            </w: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20.51</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4.65</w:t>
            </w:r>
          </w:p>
        </w:tc>
        <w:tc>
          <w:tcPr>
            <w:tcW w:w="4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37.79</w:t>
            </w:r>
          </w:p>
        </w:tc>
        <w:tc>
          <w:tcPr>
            <w:tcW w:w="30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1.17</w:t>
            </w:r>
          </w:p>
        </w:tc>
        <w:tc>
          <w:tcPr>
            <w:tcW w:w="37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-0.06</w:t>
            </w:r>
          </w:p>
        </w:tc>
        <w:tc>
          <w:tcPr>
            <w:tcW w:w="41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10" w:hRule="atLeast"/>
          <w:tblCellSpacing w:w="0" w:type="dxa"/>
          <w:jc w:val="center"/>
        </w:trPr>
        <w:tc>
          <w:tcPr>
            <w:tcW w:w="92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其他</w:t>
            </w:r>
          </w:p>
        </w:tc>
        <w:tc>
          <w:tcPr>
            <w:tcW w:w="30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2,292</w:t>
            </w:r>
          </w:p>
        </w:tc>
        <w:tc>
          <w:tcPr>
            <w:tcW w:w="32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19.84</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54.03</w:t>
            </w:r>
          </w:p>
        </w:tc>
        <w:tc>
          <w:tcPr>
            <w:tcW w:w="45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0.26</w:t>
            </w:r>
          </w:p>
        </w:tc>
        <w:tc>
          <w:tcPr>
            <w:tcW w:w="3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861</w:t>
            </w: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11.90</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-28.90</w:t>
            </w:r>
          </w:p>
        </w:tc>
        <w:tc>
          <w:tcPr>
            <w:tcW w:w="4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-42.14</w:t>
            </w:r>
          </w:p>
        </w:tc>
        <w:tc>
          <w:tcPr>
            <w:tcW w:w="30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2.17</w:t>
            </w:r>
          </w:p>
        </w:tc>
        <w:tc>
          <w:tcPr>
            <w:tcW w:w="37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1.04</w:t>
            </w:r>
          </w:p>
        </w:tc>
        <w:tc>
          <w:tcPr>
            <w:tcW w:w="41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0.69</w:t>
            </w:r>
          </w:p>
        </w:tc>
      </w:tr>
      <w:bookmarkEnd w:id="4"/>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10" w:hRule="atLeast"/>
          <w:tblCellSpacing w:w="0" w:type="dxa"/>
          <w:jc w:val="center"/>
        </w:trPr>
        <w:tc>
          <w:tcPr>
            <w:tcW w:w="92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无要求</w:t>
            </w:r>
          </w:p>
        </w:tc>
        <w:tc>
          <w:tcPr>
            <w:tcW w:w="30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highlight w:val="none"/>
                <w:u w:val="none"/>
                <w:lang w:val="en-US" w:eastAsia="zh-CN" w:bidi="ar"/>
              </w:rPr>
              <w:t>——</w:t>
            </w:r>
          </w:p>
        </w:tc>
        <w:tc>
          <w:tcPr>
            <w:tcW w:w="32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highlight w:val="none"/>
                <w:u w:val="none"/>
                <w:lang w:val="en-US" w:eastAsia="zh-CN" w:bidi="ar"/>
              </w:rPr>
              <w:t>——</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45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3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987</w:t>
            </w: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13.64</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-8.44</w:t>
            </w:r>
          </w:p>
        </w:tc>
        <w:tc>
          <w:tcPr>
            <w:tcW w:w="4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214.33</w:t>
            </w:r>
          </w:p>
        </w:tc>
        <w:tc>
          <w:tcPr>
            <w:tcW w:w="30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37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41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40" w:hRule="atLeast"/>
          <w:tblCellSpacing w:w="0" w:type="dxa"/>
          <w:jc w:val="center"/>
        </w:trPr>
        <w:tc>
          <w:tcPr>
            <w:tcW w:w="92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合计</w:t>
            </w:r>
          </w:p>
        </w:tc>
        <w:tc>
          <w:tcPr>
            <w:tcW w:w="30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11,550</w:t>
            </w:r>
          </w:p>
        </w:tc>
        <w:tc>
          <w:tcPr>
            <w:tcW w:w="32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highlight w:val="none"/>
                <w:u w:val="none"/>
                <w:lang w:val="en-US" w:eastAsia="zh-CN" w:bidi="ar"/>
              </w:rPr>
              <w:t>100</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-23.16</w:t>
            </w:r>
          </w:p>
        </w:tc>
        <w:tc>
          <w:tcPr>
            <w:tcW w:w="45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-3.06</w:t>
            </w:r>
          </w:p>
        </w:tc>
        <w:tc>
          <w:tcPr>
            <w:tcW w:w="3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7,235</w:t>
            </w: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39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-38.15</w:t>
            </w:r>
          </w:p>
        </w:tc>
        <w:tc>
          <w:tcPr>
            <w:tcW w:w="4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-4.39</w:t>
            </w:r>
          </w:p>
        </w:tc>
        <w:tc>
          <w:tcPr>
            <w:tcW w:w="30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37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41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bookmarkEnd w:id="5"/>
      <w:bookmarkEnd w:id="6"/>
    </w:tbl>
    <w:p>
      <w:pPr>
        <w:pStyle w:val="2"/>
        <w:ind w:left="0" w:leftChars="0" w:firstLine="0" w:firstLineChars="0"/>
        <w:rPr>
          <w:rFonts w:hint="eastAsia" w:eastAsia="宋体"/>
          <w:color w:val="auto"/>
          <w:sz w:val="22"/>
          <w:szCs w:val="22"/>
          <w:highlight w:val="none"/>
          <w:lang w:eastAsia="zh-CN"/>
        </w:rPr>
      </w:pPr>
    </w:p>
    <w:p>
      <w:pPr>
        <w:pStyle w:val="2"/>
        <w:ind w:left="0" w:leftChars="0" w:firstLine="0" w:firstLineChars="0"/>
        <w:rPr>
          <w:rFonts w:hint="eastAsia" w:eastAsia="宋体"/>
          <w:color w:val="C00000"/>
          <w:sz w:val="22"/>
          <w:szCs w:val="22"/>
          <w:highlight w:val="none"/>
          <w:lang w:eastAsia="zh-CN"/>
        </w:rPr>
      </w:pPr>
      <w:r>
        <w:rPr>
          <w:rFonts w:hint="eastAsia"/>
          <w:color w:val="C00000"/>
          <w:sz w:val="22"/>
          <w:szCs w:val="22"/>
          <w:highlight w:val="none"/>
          <w:lang w:val="en-US" w:eastAsia="zh-CN"/>
        </w:rPr>
        <w:t xml:space="preserve">  </w:t>
      </w:r>
      <w:r>
        <w:rPr>
          <w:rFonts w:hint="eastAsia" w:eastAsia="宋体"/>
          <w:color w:val="C00000"/>
          <w:sz w:val="22"/>
          <w:szCs w:val="22"/>
          <w:highlight w:val="none"/>
          <w:lang w:eastAsia="zh-CN"/>
        </w:rPr>
        <w:drawing>
          <wp:inline distT="0" distB="0" distL="114300" distR="114300">
            <wp:extent cx="8515350" cy="4865370"/>
            <wp:effectExtent l="4445" t="4445" r="14605" b="698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
        <w:ind w:left="0" w:leftChars="0" w:firstLine="0" w:firstLineChars="0"/>
        <w:rPr>
          <w:rFonts w:hint="eastAsia" w:eastAsia="宋体"/>
          <w:color w:val="C00000"/>
          <w:sz w:val="22"/>
          <w:szCs w:val="22"/>
          <w:highlight w:val="none"/>
          <w:lang w:eastAsia="zh-CN"/>
        </w:rPr>
      </w:pPr>
    </w:p>
    <w:p>
      <w:pPr>
        <w:pStyle w:val="2"/>
        <w:ind w:left="0" w:leftChars="0" w:firstLine="0" w:firstLineChars="0"/>
        <w:rPr>
          <w:rFonts w:hint="eastAsia" w:eastAsia="宋体"/>
          <w:color w:val="C00000"/>
          <w:sz w:val="22"/>
          <w:szCs w:val="22"/>
          <w:highlight w:val="none"/>
          <w:lang w:eastAsia="zh-CN"/>
        </w:rPr>
        <w:sectPr>
          <w:pgSz w:w="16838" w:h="11906" w:orient="landscape"/>
          <w:pgMar w:top="1800" w:right="1474" w:bottom="1800" w:left="1440" w:header="851" w:footer="992" w:gutter="0"/>
          <w:pgNumType w:fmt="decimal"/>
          <w:cols w:space="425" w:num="1"/>
          <w:docGrid w:type="lines" w:linePitch="312" w:charSpace="0"/>
        </w:sect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五</w:t>
      </w:r>
      <w:r>
        <w:rPr>
          <w:rFonts w:hint="eastAsia" w:ascii="黑体" w:hAnsi="黑体" w:eastAsia="黑体" w:cs="黑体"/>
          <w:b w:val="0"/>
          <w:bCs w:val="0"/>
          <w:color w:val="auto"/>
          <w:sz w:val="32"/>
          <w:szCs w:val="32"/>
          <w:highlight w:val="none"/>
          <w:lang w:val="en-US" w:eastAsia="zh-CN"/>
        </w:rPr>
        <w:t>、</w:t>
      </w:r>
      <w:r>
        <w:rPr>
          <w:rFonts w:hint="eastAsia" w:ascii="黑体" w:hAnsi="黑体" w:eastAsia="黑体" w:cs="黑体"/>
          <w:b w:val="0"/>
          <w:bCs w:val="0"/>
          <w:color w:val="auto"/>
          <w:sz w:val="32"/>
          <w:szCs w:val="32"/>
          <w:highlight w:val="none"/>
          <w:lang w:eastAsia="zh-CN"/>
        </w:rPr>
        <w:t>需求大于、小于求职缺口最大的前十个职业分析</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当前，我盟结构性就业矛盾仍较为突出。从2024年第三季度我盟各地公共就业服务机构统计数据可以看出，劳动力出现短缺的前十个岗位依次是露天采矿工，其他金属冶炼和压延加工人员，露天矿物开采辅助工，其他采矿人员，餐厅服务员，其他住宿和餐饮服务人员，快递工程技术人员，国际快递业务师，兽医，商品营业员。</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同时，我盟各地劳动力市场出现劳动力富余的前十个岗位依次是其他办事人员和有关人员，其他行政办事及辅助人员，营销员，其他居民服务人员，行政办事员，企业人力资源管理师，社区护士，企业经理，会计专业人员，幼儿园教师。</w:t>
      </w:r>
    </w:p>
    <w:p>
      <w:pPr>
        <w:pStyle w:val="2"/>
        <w:rPr>
          <w:rFonts w:hint="eastAsia"/>
          <w:color w:val="C00000"/>
          <w:sz w:val="22"/>
          <w:szCs w:val="22"/>
          <w:highlight w:val="none"/>
        </w:rPr>
      </w:pPr>
    </w:p>
    <w:p>
      <w:pPr>
        <w:pStyle w:val="2"/>
        <w:rPr>
          <w:rFonts w:hint="eastAsia"/>
          <w:color w:val="C00000"/>
          <w:sz w:val="22"/>
          <w:szCs w:val="22"/>
          <w:highlight w:val="none"/>
        </w:rPr>
      </w:pPr>
    </w:p>
    <w:p>
      <w:pPr>
        <w:pStyle w:val="2"/>
        <w:rPr>
          <w:rFonts w:hint="eastAsia"/>
          <w:color w:val="C00000"/>
          <w:sz w:val="22"/>
          <w:szCs w:val="22"/>
          <w:highlight w:val="none"/>
        </w:rPr>
      </w:pPr>
    </w:p>
    <w:p>
      <w:pPr>
        <w:pStyle w:val="2"/>
        <w:rPr>
          <w:rFonts w:hint="eastAsia"/>
          <w:color w:val="C00000"/>
          <w:sz w:val="22"/>
          <w:szCs w:val="22"/>
          <w:highlight w:val="none"/>
        </w:rPr>
      </w:pPr>
    </w:p>
    <w:p>
      <w:pPr>
        <w:pStyle w:val="2"/>
        <w:rPr>
          <w:rFonts w:hint="eastAsia"/>
          <w:color w:val="C00000"/>
          <w:sz w:val="22"/>
          <w:szCs w:val="22"/>
          <w:highlight w:val="none"/>
        </w:rPr>
      </w:pPr>
    </w:p>
    <w:p>
      <w:pPr>
        <w:pStyle w:val="2"/>
        <w:rPr>
          <w:rFonts w:hint="eastAsia"/>
          <w:color w:val="C00000"/>
          <w:sz w:val="22"/>
          <w:szCs w:val="22"/>
          <w:highlight w:val="none"/>
        </w:rPr>
      </w:pPr>
    </w:p>
    <w:p>
      <w:pPr>
        <w:pStyle w:val="2"/>
        <w:rPr>
          <w:rFonts w:hint="eastAsia"/>
          <w:color w:val="C00000"/>
          <w:sz w:val="22"/>
          <w:szCs w:val="22"/>
          <w:highlight w:val="none"/>
        </w:rPr>
      </w:pPr>
    </w:p>
    <w:p>
      <w:pPr>
        <w:pStyle w:val="2"/>
        <w:rPr>
          <w:rFonts w:hint="eastAsia"/>
          <w:color w:val="C00000"/>
          <w:sz w:val="22"/>
          <w:szCs w:val="22"/>
          <w:highlight w:val="none"/>
        </w:rPr>
      </w:pPr>
    </w:p>
    <w:p>
      <w:pPr>
        <w:pStyle w:val="2"/>
        <w:rPr>
          <w:rFonts w:hint="eastAsia"/>
          <w:color w:val="C00000"/>
          <w:sz w:val="22"/>
          <w:szCs w:val="22"/>
          <w:highlight w:val="none"/>
        </w:rPr>
      </w:pPr>
    </w:p>
    <w:p>
      <w:pPr>
        <w:pStyle w:val="2"/>
        <w:rPr>
          <w:rFonts w:hint="eastAsia"/>
          <w:color w:val="C00000"/>
          <w:sz w:val="22"/>
          <w:szCs w:val="22"/>
          <w:highlight w:val="none"/>
        </w:rPr>
      </w:pPr>
    </w:p>
    <w:p>
      <w:pPr>
        <w:pStyle w:val="2"/>
        <w:rPr>
          <w:rFonts w:hint="eastAsia"/>
          <w:color w:val="C00000"/>
          <w:sz w:val="22"/>
          <w:szCs w:val="22"/>
          <w:highlight w:val="none"/>
        </w:rPr>
      </w:pPr>
    </w:p>
    <w:p>
      <w:pPr>
        <w:pStyle w:val="2"/>
        <w:rPr>
          <w:rFonts w:hint="eastAsia"/>
          <w:color w:val="C00000"/>
          <w:sz w:val="22"/>
          <w:szCs w:val="22"/>
          <w:highlight w:val="none"/>
        </w:rPr>
      </w:pPr>
    </w:p>
    <w:p>
      <w:pPr>
        <w:pStyle w:val="2"/>
        <w:rPr>
          <w:rFonts w:hint="eastAsia"/>
          <w:color w:val="C00000"/>
          <w:sz w:val="22"/>
          <w:szCs w:val="22"/>
          <w:highlight w:val="none"/>
        </w:rPr>
      </w:pPr>
    </w:p>
    <w:p>
      <w:pPr>
        <w:pStyle w:val="2"/>
        <w:rPr>
          <w:rFonts w:hint="eastAsia"/>
          <w:color w:val="C00000"/>
          <w:sz w:val="22"/>
          <w:szCs w:val="22"/>
          <w:highlight w:val="none"/>
        </w:rPr>
      </w:pPr>
    </w:p>
    <w:p>
      <w:pPr>
        <w:pStyle w:val="2"/>
        <w:rPr>
          <w:rFonts w:hint="eastAsia"/>
          <w:color w:val="C00000"/>
          <w:sz w:val="22"/>
          <w:szCs w:val="22"/>
          <w:highlight w:val="none"/>
        </w:rPr>
      </w:pPr>
    </w:p>
    <w:p>
      <w:pPr>
        <w:pStyle w:val="2"/>
        <w:rPr>
          <w:rFonts w:hint="eastAsia"/>
          <w:color w:val="C00000"/>
          <w:sz w:val="22"/>
          <w:szCs w:val="22"/>
          <w:highlight w:val="none"/>
        </w:rPr>
      </w:pPr>
    </w:p>
    <w:p>
      <w:pPr>
        <w:pStyle w:val="2"/>
        <w:rPr>
          <w:rFonts w:hint="eastAsia"/>
          <w:color w:val="C00000"/>
          <w:sz w:val="22"/>
          <w:szCs w:val="22"/>
          <w:highlight w:val="none"/>
        </w:rPr>
      </w:pPr>
    </w:p>
    <w:p>
      <w:pPr>
        <w:pStyle w:val="2"/>
        <w:rPr>
          <w:rFonts w:hint="eastAsia"/>
          <w:color w:val="C00000"/>
          <w:sz w:val="22"/>
          <w:szCs w:val="22"/>
          <w:highlight w:val="none"/>
        </w:rPr>
      </w:pPr>
    </w:p>
    <w:p>
      <w:pPr>
        <w:pStyle w:val="2"/>
        <w:rPr>
          <w:rFonts w:hint="eastAsia"/>
          <w:color w:val="C00000"/>
          <w:sz w:val="22"/>
          <w:szCs w:val="22"/>
          <w:highlight w:val="none"/>
        </w:rPr>
      </w:pPr>
    </w:p>
    <w:p>
      <w:pPr>
        <w:pStyle w:val="2"/>
        <w:rPr>
          <w:rFonts w:hint="eastAsia"/>
          <w:color w:val="C00000"/>
          <w:sz w:val="22"/>
          <w:szCs w:val="22"/>
          <w:highlight w:val="none"/>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表6.需求大于求职缺口最大的前十个职业（职业小类）</w:t>
      </w:r>
    </w:p>
    <w:tbl>
      <w:tblPr>
        <w:tblStyle w:val="9"/>
        <w:tblpPr w:leftFromText="180" w:rightFromText="180" w:vertAnchor="text" w:horzAnchor="page" w:tblpX="1663" w:tblpY="598"/>
        <w:tblOverlap w:val="never"/>
        <w:tblW w:w="4927"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3904"/>
        <w:gridCol w:w="1273"/>
        <w:gridCol w:w="1303"/>
        <w:gridCol w:w="1147"/>
        <w:gridCol w:w="114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173" w:hRule="atLeast"/>
          <w:tblCellSpacing w:w="0" w:type="dxa"/>
        </w:trPr>
        <w:tc>
          <w:tcPr>
            <w:tcW w:w="222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项目</w:t>
            </w:r>
          </w:p>
        </w:tc>
        <w:tc>
          <w:tcPr>
            <w:tcW w:w="7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需求人数</w:t>
            </w:r>
          </w:p>
        </w:tc>
        <w:tc>
          <w:tcPr>
            <w:tcW w:w="7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求职人数</w:t>
            </w:r>
          </w:p>
        </w:tc>
        <w:tc>
          <w:tcPr>
            <w:tcW w:w="6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缺口数</w:t>
            </w:r>
          </w:p>
        </w:tc>
        <w:tc>
          <w:tcPr>
            <w:tcW w:w="6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求人倍率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222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auto"/>
                <w:kern w:val="0"/>
                <w:sz w:val="24"/>
                <w:szCs w:val="24"/>
                <w:highlight w:val="none"/>
                <w:u w:val="none"/>
                <w:lang w:val="en-US" w:eastAsia="zh-CN" w:bidi="ar"/>
              </w:rPr>
              <w:t>露天采矿工</w:t>
            </w:r>
          </w:p>
        </w:tc>
        <w:tc>
          <w:tcPr>
            <w:tcW w:w="7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223</w:t>
            </w:r>
          </w:p>
        </w:tc>
        <w:tc>
          <w:tcPr>
            <w:tcW w:w="7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56</w:t>
            </w:r>
          </w:p>
        </w:tc>
        <w:tc>
          <w:tcPr>
            <w:tcW w:w="6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167</w:t>
            </w:r>
          </w:p>
        </w:tc>
        <w:tc>
          <w:tcPr>
            <w:tcW w:w="6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3.98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222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auto"/>
                <w:kern w:val="0"/>
                <w:sz w:val="24"/>
                <w:szCs w:val="24"/>
                <w:highlight w:val="none"/>
                <w:u w:val="none"/>
                <w:lang w:val="en-US" w:eastAsia="zh-CN" w:bidi="ar"/>
              </w:rPr>
              <w:t>其他金属冶炼和压延加工人员</w:t>
            </w:r>
          </w:p>
        </w:tc>
        <w:tc>
          <w:tcPr>
            <w:tcW w:w="7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110</w:t>
            </w:r>
          </w:p>
        </w:tc>
        <w:tc>
          <w:tcPr>
            <w:tcW w:w="7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5</w:t>
            </w:r>
          </w:p>
        </w:tc>
        <w:tc>
          <w:tcPr>
            <w:tcW w:w="6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105</w:t>
            </w:r>
          </w:p>
        </w:tc>
        <w:tc>
          <w:tcPr>
            <w:tcW w:w="6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22.00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222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auto"/>
                <w:kern w:val="0"/>
                <w:sz w:val="24"/>
                <w:szCs w:val="24"/>
                <w:highlight w:val="none"/>
                <w:u w:val="none"/>
                <w:lang w:val="en-US" w:eastAsia="zh-CN" w:bidi="ar"/>
              </w:rPr>
              <w:t>露天矿物开采辅助工</w:t>
            </w:r>
          </w:p>
        </w:tc>
        <w:tc>
          <w:tcPr>
            <w:tcW w:w="7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80</w:t>
            </w:r>
          </w:p>
        </w:tc>
        <w:tc>
          <w:tcPr>
            <w:tcW w:w="7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0</w:t>
            </w:r>
          </w:p>
        </w:tc>
        <w:tc>
          <w:tcPr>
            <w:tcW w:w="6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80</w:t>
            </w:r>
          </w:p>
        </w:tc>
        <w:tc>
          <w:tcPr>
            <w:tcW w:w="6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hint="default" w:ascii="Times New Roman" w:hAnsi="Times New Roman" w:eastAsia="仿宋_GB2312" w:cs="Times New Roman"/>
                <w:b w:val="0"/>
                <w:bCs w:val="0"/>
                <w:color w:val="auto"/>
                <w:kern w:val="2"/>
                <w:sz w:val="24"/>
                <w:szCs w:val="24"/>
                <w:highlight w:val="none"/>
                <w:lang w:val="en-US" w:eastAsia="zh-CN" w:bidi="ar-S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222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auto"/>
                <w:kern w:val="0"/>
                <w:sz w:val="24"/>
                <w:szCs w:val="24"/>
                <w:highlight w:val="none"/>
                <w:u w:val="none"/>
                <w:lang w:val="en-US" w:eastAsia="zh-CN" w:bidi="ar"/>
              </w:rPr>
              <w:t>其他采矿人员</w:t>
            </w:r>
          </w:p>
        </w:tc>
        <w:tc>
          <w:tcPr>
            <w:tcW w:w="7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69</w:t>
            </w:r>
          </w:p>
        </w:tc>
        <w:tc>
          <w:tcPr>
            <w:tcW w:w="7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10</w:t>
            </w:r>
          </w:p>
        </w:tc>
        <w:tc>
          <w:tcPr>
            <w:tcW w:w="6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59</w:t>
            </w:r>
          </w:p>
        </w:tc>
        <w:tc>
          <w:tcPr>
            <w:tcW w:w="6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6.90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222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auto"/>
                <w:kern w:val="0"/>
                <w:sz w:val="24"/>
                <w:szCs w:val="24"/>
                <w:highlight w:val="none"/>
                <w:u w:val="none"/>
                <w:lang w:val="en-US" w:eastAsia="zh-CN" w:bidi="ar"/>
              </w:rPr>
              <w:t>餐厅服务员</w:t>
            </w:r>
          </w:p>
        </w:tc>
        <w:tc>
          <w:tcPr>
            <w:tcW w:w="7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73</w:t>
            </w:r>
          </w:p>
        </w:tc>
        <w:tc>
          <w:tcPr>
            <w:tcW w:w="7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14</w:t>
            </w:r>
          </w:p>
        </w:tc>
        <w:tc>
          <w:tcPr>
            <w:tcW w:w="6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59</w:t>
            </w:r>
          </w:p>
        </w:tc>
        <w:tc>
          <w:tcPr>
            <w:tcW w:w="6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5.21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222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auto"/>
                <w:kern w:val="0"/>
                <w:sz w:val="24"/>
                <w:szCs w:val="24"/>
                <w:highlight w:val="none"/>
                <w:u w:val="none"/>
                <w:lang w:val="en-US" w:eastAsia="zh-CN" w:bidi="ar"/>
              </w:rPr>
              <w:t>其他住宿和餐饮服务人员</w:t>
            </w:r>
          </w:p>
        </w:tc>
        <w:tc>
          <w:tcPr>
            <w:tcW w:w="7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149</w:t>
            </w:r>
          </w:p>
        </w:tc>
        <w:tc>
          <w:tcPr>
            <w:tcW w:w="7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99</w:t>
            </w:r>
          </w:p>
        </w:tc>
        <w:tc>
          <w:tcPr>
            <w:tcW w:w="6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50</w:t>
            </w:r>
          </w:p>
        </w:tc>
        <w:tc>
          <w:tcPr>
            <w:tcW w:w="6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1.51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222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auto"/>
                <w:kern w:val="0"/>
                <w:sz w:val="24"/>
                <w:szCs w:val="24"/>
                <w:highlight w:val="none"/>
                <w:u w:val="none"/>
                <w:lang w:val="en-US" w:eastAsia="zh-CN" w:bidi="ar"/>
              </w:rPr>
              <w:t>快递工程技术人员</w:t>
            </w:r>
          </w:p>
        </w:tc>
        <w:tc>
          <w:tcPr>
            <w:tcW w:w="7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65</w:t>
            </w:r>
          </w:p>
        </w:tc>
        <w:tc>
          <w:tcPr>
            <w:tcW w:w="7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20</w:t>
            </w:r>
          </w:p>
        </w:tc>
        <w:tc>
          <w:tcPr>
            <w:tcW w:w="6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45</w:t>
            </w:r>
          </w:p>
        </w:tc>
        <w:tc>
          <w:tcPr>
            <w:tcW w:w="6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3.25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222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auto"/>
                <w:kern w:val="0"/>
                <w:sz w:val="24"/>
                <w:szCs w:val="24"/>
                <w:highlight w:val="none"/>
                <w:u w:val="none"/>
                <w:lang w:val="en-US" w:eastAsia="zh-CN" w:bidi="ar"/>
              </w:rPr>
              <w:t>国际快递业务师</w:t>
            </w:r>
          </w:p>
        </w:tc>
        <w:tc>
          <w:tcPr>
            <w:tcW w:w="7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126</w:t>
            </w:r>
          </w:p>
        </w:tc>
        <w:tc>
          <w:tcPr>
            <w:tcW w:w="7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84</w:t>
            </w:r>
          </w:p>
        </w:tc>
        <w:tc>
          <w:tcPr>
            <w:tcW w:w="6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42</w:t>
            </w:r>
          </w:p>
        </w:tc>
        <w:tc>
          <w:tcPr>
            <w:tcW w:w="6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1.50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222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auto"/>
                <w:kern w:val="0"/>
                <w:sz w:val="24"/>
                <w:szCs w:val="24"/>
                <w:highlight w:val="none"/>
                <w:u w:val="none"/>
                <w:lang w:val="en-US" w:eastAsia="zh-CN" w:bidi="ar"/>
              </w:rPr>
              <w:t>兽医</w:t>
            </w:r>
          </w:p>
        </w:tc>
        <w:tc>
          <w:tcPr>
            <w:tcW w:w="7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78</w:t>
            </w:r>
          </w:p>
        </w:tc>
        <w:tc>
          <w:tcPr>
            <w:tcW w:w="7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44</w:t>
            </w:r>
          </w:p>
        </w:tc>
        <w:tc>
          <w:tcPr>
            <w:tcW w:w="6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34</w:t>
            </w:r>
          </w:p>
        </w:tc>
        <w:tc>
          <w:tcPr>
            <w:tcW w:w="6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1.77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222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auto"/>
                <w:kern w:val="0"/>
                <w:sz w:val="24"/>
                <w:szCs w:val="24"/>
                <w:highlight w:val="none"/>
                <w:u w:val="none"/>
                <w:lang w:val="en-US" w:eastAsia="zh-CN" w:bidi="ar"/>
              </w:rPr>
              <w:t>商品营业员</w:t>
            </w:r>
          </w:p>
        </w:tc>
        <w:tc>
          <w:tcPr>
            <w:tcW w:w="7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43</w:t>
            </w:r>
          </w:p>
        </w:tc>
        <w:tc>
          <w:tcPr>
            <w:tcW w:w="7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13</w:t>
            </w:r>
          </w:p>
        </w:tc>
        <w:tc>
          <w:tcPr>
            <w:tcW w:w="65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30</w:t>
            </w:r>
          </w:p>
        </w:tc>
        <w:tc>
          <w:tcPr>
            <w:tcW w:w="6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3.31</w:t>
            </w:r>
          </w:p>
        </w:tc>
      </w:tr>
    </w:tbl>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表7.需求小于求职缺口最大的前十个职业（职业小类）</w:t>
      </w:r>
    </w:p>
    <w:tbl>
      <w:tblPr>
        <w:tblStyle w:val="9"/>
        <w:tblpPr w:leftFromText="180" w:rightFromText="180" w:vertAnchor="text" w:horzAnchor="page" w:tblpX="1888" w:tblpY="598"/>
        <w:tblOverlap w:val="never"/>
        <w:tblW w:w="4729"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3144"/>
        <w:gridCol w:w="1377"/>
        <w:gridCol w:w="1336"/>
        <w:gridCol w:w="1244"/>
        <w:gridCol w:w="132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173" w:hRule="atLeast"/>
          <w:tblCellSpacing w:w="0" w:type="dxa"/>
        </w:trPr>
        <w:tc>
          <w:tcPr>
            <w:tcW w:w="186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项目</w:t>
            </w:r>
          </w:p>
        </w:tc>
        <w:tc>
          <w:tcPr>
            <w:tcW w:w="81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需求人数</w:t>
            </w:r>
          </w:p>
        </w:tc>
        <w:tc>
          <w:tcPr>
            <w:tcW w:w="79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求职人数</w:t>
            </w:r>
          </w:p>
        </w:tc>
        <w:tc>
          <w:tcPr>
            <w:tcW w:w="73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缺口数</w:t>
            </w:r>
          </w:p>
        </w:tc>
        <w:tc>
          <w:tcPr>
            <w:tcW w:w="78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求人倍率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auto"/>
                <w:kern w:val="0"/>
                <w:sz w:val="24"/>
                <w:szCs w:val="24"/>
                <w:highlight w:val="none"/>
                <w:u w:val="none"/>
                <w:lang w:val="en-US" w:eastAsia="zh-CN" w:bidi="ar"/>
              </w:rPr>
              <w:t>其他办事人员和有关人员</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140</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204</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64</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0.69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auto"/>
                <w:kern w:val="0"/>
                <w:sz w:val="24"/>
                <w:szCs w:val="24"/>
                <w:highlight w:val="none"/>
                <w:u w:val="none"/>
                <w:lang w:val="en-US" w:eastAsia="zh-CN" w:bidi="ar"/>
              </w:rPr>
              <w:t>其他行政办事及辅助人员</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35</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87</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52</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auto"/>
                <w:kern w:val="0"/>
                <w:sz w:val="24"/>
                <w:szCs w:val="24"/>
                <w:highlight w:val="none"/>
                <w:u w:val="none"/>
                <w:lang w:val="en-US" w:eastAsia="zh-CN" w:bidi="ar"/>
              </w:rPr>
              <w:t>营销员</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37</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80</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43</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0.46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auto"/>
                <w:kern w:val="0"/>
                <w:sz w:val="24"/>
                <w:szCs w:val="24"/>
                <w:highlight w:val="none"/>
                <w:u w:val="none"/>
                <w:lang w:val="en-US" w:eastAsia="zh-CN" w:bidi="ar"/>
              </w:rPr>
              <w:t>其他居民服务人员</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40</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auto"/>
                <w:kern w:val="0"/>
                <w:sz w:val="24"/>
                <w:szCs w:val="24"/>
                <w:highlight w:val="none"/>
                <w:u w:val="none"/>
                <w:lang w:val="en-US" w:eastAsia="zh-CN" w:bidi="ar"/>
              </w:rPr>
              <w:t>行政办事员</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32</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59</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27</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0.54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auto"/>
                <w:kern w:val="0"/>
                <w:sz w:val="24"/>
                <w:szCs w:val="24"/>
                <w:highlight w:val="none"/>
                <w:u w:val="none"/>
                <w:lang w:val="en-US" w:eastAsia="zh-CN" w:bidi="ar"/>
              </w:rPr>
              <w:t>企业人力资源管理师</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42</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27</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0.36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auto"/>
                <w:sz w:val="24"/>
                <w:szCs w:val="24"/>
                <w:highlight w:val="none"/>
                <w:u w:val="none"/>
                <w:lang w:val="en-US" w:eastAsia="zh-CN" w:bidi="ar-SA"/>
              </w:rPr>
            </w:pPr>
            <w:r>
              <w:rPr>
                <w:rFonts w:hint="eastAsia" w:ascii="仿宋_GB2312" w:hAnsi="仿宋_GB2312" w:eastAsia="仿宋_GB2312" w:cs="仿宋_GB2312"/>
                <w:b/>
                <w:bCs/>
                <w:i w:val="0"/>
                <w:iCs w:val="0"/>
                <w:color w:val="auto"/>
                <w:kern w:val="0"/>
                <w:sz w:val="24"/>
                <w:szCs w:val="24"/>
                <w:highlight w:val="none"/>
                <w:u w:val="none"/>
                <w:lang w:val="en-US" w:eastAsia="zh-CN" w:bidi="ar"/>
              </w:rPr>
              <w:t>社区护士</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0.27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auto"/>
                <w:kern w:val="0"/>
                <w:sz w:val="24"/>
                <w:szCs w:val="24"/>
                <w:highlight w:val="none"/>
                <w:u w:val="none"/>
                <w:lang w:val="en-US" w:eastAsia="zh-CN" w:bidi="ar"/>
              </w:rPr>
              <w:t>企业经理</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14</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33</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19</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0.42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80"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auto"/>
                <w:kern w:val="0"/>
                <w:sz w:val="24"/>
                <w:szCs w:val="24"/>
                <w:highlight w:val="none"/>
                <w:u w:val="none"/>
                <w:lang w:val="en-US" w:eastAsia="zh-CN" w:bidi="ar"/>
              </w:rPr>
              <w:t>会计专业人员</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32</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0.47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708" w:hRule="atLeast"/>
          <w:tblCellSpacing w:w="0" w:type="dxa"/>
        </w:trPr>
        <w:tc>
          <w:tcPr>
            <w:tcW w:w="31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i w:val="0"/>
                <w:iCs w:val="0"/>
                <w:color w:val="auto"/>
                <w:kern w:val="0"/>
                <w:sz w:val="24"/>
                <w:szCs w:val="24"/>
                <w:highlight w:val="none"/>
                <w:u w:val="none"/>
                <w:lang w:val="en-US" w:eastAsia="zh-CN" w:bidi="ar"/>
              </w:rPr>
              <w:t>幼儿园教师</w:t>
            </w:r>
          </w:p>
        </w:tc>
        <w:tc>
          <w:tcPr>
            <w:tcW w:w="137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133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124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132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0.25</w:t>
            </w:r>
          </w:p>
        </w:tc>
      </w:tr>
    </w:tbl>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pPr>
        <w:pStyle w:val="8"/>
        <w:spacing w:line="300" w:lineRule="atLeast"/>
        <w:jc w:val="center"/>
        <w:rPr>
          <w:rFonts w:hint="eastAsia"/>
          <w:color w:val="C00000"/>
          <w:sz w:val="22"/>
          <w:szCs w:val="22"/>
          <w:highlight w:val="none"/>
        </w:rPr>
      </w:pPr>
      <w:r>
        <w:rPr>
          <w:rFonts w:hint="eastAsia"/>
          <w:color w:val="C00000"/>
          <w:sz w:val="22"/>
          <w:szCs w:val="22"/>
          <w:highlight w:val="none"/>
        </w:rPr>
        <w:t xml:space="preserve"> </w:t>
      </w:r>
    </w:p>
    <w:p>
      <w:pPr>
        <w:pStyle w:val="8"/>
        <w:spacing w:line="300" w:lineRule="atLeast"/>
        <w:jc w:val="center"/>
        <w:rPr>
          <w:rFonts w:hint="eastAsia"/>
          <w:color w:val="C00000"/>
          <w:sz w:val="22"/>
          <w:szCs w:val="22"/>
          <w:highlight w:val="none"/>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六、求职人员分类</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求职者按类别区分，失业人员占比52.77%，新成长失业青年占比12.73%，其中应届高校毕业生占比48.53%。外地户籍求职人员占比9.80%，本市农村求职人员占比7.92%，在业人员和退休人员占比分别为16.17%、0.61%。</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与上一季度相比，在业人员环比上升125%，本市农村求职人员环比上升1.78%，退休人员环比下降94.46%，新成长失业青年环比下降66.47%，外地户籍求职人员环比下降43.19%，失业人员环比下降26.35%。</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与去年同期相比，在业人员同比增长2240%，外地户籍求职人员同比增长72.51%，退休人员同比增长4.76%，新成长失业青年同比下降62.02%，本市农村求职人员同比下降24.61%，失业人员同比下降1.57%。</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default" w:ascii="Times New Roman" w:hAnsi="Times New Roman" w:eastAsia="仿宋_GB2312" w:cs="Times New Roman"/>
          <w:color w:val="C00000"/>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default" w:ascii="Times New Roman" w:hAnsi="Times New Roman" w:eastAsia="仿宋_GB2312" w:cs="Times New Roman"/>
          <w:color w:val="C00000"/>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default" w:ascii="Times New Roman" w:hAnsi="Times New Roman" w:eastAsia="仿宋_GB2312" w:cs="Times New Roman"/>
          <w:color w:val="C00000"/>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default" w:ascii="Times New Roman" w:hAnsi="Times New Roman" w:eastAsia="仿宋_GB2312" w:cs="Times New Roman"/>
          <w:color w:val="C00000"/>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default" w:ascii="Times New Roman" w:hAnsi="Times New Roman" w:eastAsia="仿宋_GB2312" w:cs="Times New Roman"/>
          <w:color w:val="C00000"/>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default" w:ascii="Times New Roman" w:hAnsi="Times New Roman" w:eastAsia="仿宋_GB2312" w:cs="Times New Roman"/>
          <w:color w:val="C00000"/>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default" w:ascii="Times New Roman" w:hAnsi="Times New Roman" w:eastAsia="仿宋_GB2312" w:cs="Times New Roman"/>
          <w:color w:val="C00000"/>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default" w:ascii="Times New Roman" w:hAnsi="Times New Roman" w:eastAsia="仿宋_GB2312" w:cs="Times New Roman"/>
          <w:color w:val="C00000"/>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仿宋_GB2312" w:cs="Times New Roman"/>
          <w:color w:val="auto"/>
          <w:kern w:val="2"/>
          <w:sz w:val="28"/>
          <w:szCs w:val="28"/>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表8. 按求职人员类别分组的求职人数</w:t>
      </w:r>
    </w:p>
    <w:tbl>
      <w:tblPr>
        <w:tblStyle w:val="9"/>
        <w:tblpPr w:leftFromText="180" w:rightFromText="180" w:vertAnchor="text" w:horzAnchor="page" w:tblpX="1560" w:tblpY="917"/>
        <w:tblOverlap w:val="never"/>
        <w:tblW w:w="5006"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3014"/>
        <w:gridCol w:w="1356"/>
        <w:gridCol w:w="1276"/>
        <w:gridCol w:w="1518"/>
        <w:gridCol w:w="17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585" w:hRule="atLeast"/>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求职人员类别</w:t>
            </w:r>
          </w:p>
        </w:tc>
        <w:tc>
          <w:tcPr>
            <w:tcW w:w="7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求职人数(人)</w:t>
            </w:r>
          </w:p>
        </w:tc>
        <w:tc>
          <w:tcPr>
            <w:tcW w:w="71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所占比重(%)</w:t>
            </w:r>
          </w:p>
        </w:tc>
        <w:tc>
          <w:tcPr>
            <w:tcW w:w="85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与上季度相比求职变化(%)</w:t>
            </w:r>
          </w:p>
        </w:tc>
        <w:tc>
          <w:tcPr>
            <w:tcW w:w="9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与去年同期相比求职变化(%)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878" w:hRule="atLeast"/>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bookmarkStart w:id="7" w:name="OLE_LINK17" w:colFirst="1" w:colLast="1"/>
            <w:r>
              <w:rPr>
                <w:rFonts w:hint="eastAsia" w:ascii="Times New Roman" w:hAnsi="Times New Roman" w:eastAsia="仿宋_GB2312" w:cs="Times New Roman"/>
                <w:b/>
                <w:bCs/>
                <w:color w:val="auto"/>
                <w:kern w:val="2"/>
                <w:sz w:val="24"/>
                <w:szCs w:val="24"/>
                <w:highlight w:val="none"/>
                <w:lang w:val="en-US" w:eastAsia="zh-CN" w:bidi="ar-SA"/>
              </w:rPr>
              <w:t>新成长失业青年 </w:t>
            </w:r>
          </w:p>
        </w:tc>
        <w:tc>
          <w:tcPr>
            <w:tcW w:w="7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921</w:t>
            </w:r>
          </w:p>
        </w:tc>
        <w:tc>
          <w:tcPr>
            <w:tcW w:w="71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12.73</w:t>
            </w:r>
          </w:p>
        </w:tc>
        <w:tc>
          <w:tcPr>
            <w:tcW w:w="85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-66.47</w:t>
            </w:r>
          </w:p>
        </w:tc>
        <w:tc>
          <w:tcPr>
            <w:tcW w:w="9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-62.02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878" w:hRule="atLeast"/>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1" w:firstLineChars="200"/>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其中：应届高校毕业生</w:t>
            </w:r>
          </w:p>
        </w:tc>
        <w:tc>
          <w:tcPr>
            <w:tcW w:w="7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447</w:t>
            </w:r>
          </w:p>
        </w:tc>
        <w:tc>
          <w:tcPr>
            <w:tcW w:w="71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48.53</w:t>
            </w:r>
          </w:p>
        </w:tc>
        <w:tc>
          <w:tcPr>
            <w:tcW w:w="85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-61.27</w:t>
            </w:r>
          </w:p>
        </w:tc>
        <w:tc>
          <w:tcPr>
            <w:tcW w:w="9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878" w:hRule="atLeast"/>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失业人员</w:t>
            </w:r>
          </w:p>
        </w:tc>
        <w:tc>
          <w:tcPr>
            <w:tcW w:w="7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3,818</w:t>
            </w:r>
          </w:p>
        </w:tc>
        <w:tc>
          <w:tcPr>
            <w:tcW w:w="71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52.77</w:t>
            </w:r>
          </w:p>
        </w:tc>
        <w:tc>
          <w:tcPr>
            <w:tcW w:w="85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-26.35</w:t>
            </w:r>
          </w:p>
        </w:tc>
        <w:tc>
          <w:tcPr>
            <w:tcW w:w="9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-1.57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878" w:hRule="atLeast"/>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在业人员</w:t>
            </w:r>
          </w:p>
        </w:tc>
        <w:tc>
          <w:tcPr>
            <w:tcW w:w="7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1,170</w:t>
            </w:r>
          </w:p>
        </w:tc>
        <w:tc>
          <w:tcPr>
            <w:tcW w:w="71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16.17</w:t>
            </w:r>
          </w:p>
        </w:tc>
        <w:tc>
          <w:tcPr>
            <w:tcW w:w="85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125.00</w:t>
            </w:r>
          </w:p>
        </w:tc>
        <w:tc>
          <w:tcPr>
            <w:tcW w:w="9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2240.00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878" w:hRule="atLeast"/>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退休人员</w:t>
            </w:r>
          </w:p>
        </w:tc>
        <w:tc>
          <w:tcPr>
            <w:tcW w:w="7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44</w:t>
            </w:r>
          </w:p>
        </w:tc>
        <w:tc>
          <w:tcPr>
            <w:tcW w:w="71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0.61</w:t>
            </w:r>
          </w:p>
        </w:tc>
        <w:tc>
          <w:tcPr>
            <w:tcW w:w="85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-94.46</w:t>
            </w:r>
          </w:p>
        </w:tc>
        <w:tc>
          <w:tcPr>
            <w:tcW w:w="9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4.76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878" w:hRule="atLeast"/>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在学人员</w:t>
            </w:r>
          </w:p>
        </w:tc>
        <w:tc>
          <w:tcPr>
            <w:tcW w:w="7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71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0.00</w:t>
            </w:r>
          </w:p>
        </w:tc>
        <w:tc>
          <w:tcPr>
            <w:tcW w:w="85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9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878" w:hRule="atLeast"/>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本市农村求职人员</w:t>
            </w:r>
          </w:p>
        </w:tc>
        <w:tc>
          <w:tcPr>
            <w:tcW w:w="7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573</w:t>
            </w:r>
          </w:p>
        </w:tc>
        <w:tc>
          <w:tcPr>
            <w:tcW w:w="71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7.92</w:t>
            </w:r>
          </w:p>
        </w:tc>
        <w:tc>
          <w:tcPr>
            <w:tcW w:w="85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1.78</w:t>
            </w:r>
          </w:p>
        </w:tc>
        <w:tc>
          <w:tcPr>
            <w:tcW w:w="9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-24.61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878" w:hRule="atLeast"/>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外地户籍求职人员</w:t>
            </w:r>
          </w:p>
        </w:tc>
        <w:tc>
          <w:tcPr>
            <w:tcW w:w="7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709</w:t>
            </w:r>
          </w:p>
        </w:tc>
        <w:tc>
          <w:tcPr>
            <w:tcW w:w="71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9.80</w:t>
            </w:r>
          </w:p>
        </w:tc>
        <w:tc>
          <w:tcPr>
            <w:tcW w:w="85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-43.19</w:t>
            </w:r>
          </w:p>
        </w:tc>
        <w:tc>
          <w:tcPr>
            <w:tcW w:w="9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72.51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935" w:hRule="atLeast"/>
          <w:tblCellSpacing w:w="0" w:type="dxa"/>
        </w:trPr>
        <w:tc>
          <w:tcPr>
            <w:tcW w:w="169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合计</w:t>
            </w:r>
          </w:p>
        </w:tc>
        <w:tc>
          <w:tcPr>
            <w:tcW w:w="76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7,235</w:t>
            </w:r>
          </w:p>
        </w:tc>
        <w:tc>
          <w:tcPr>
            <w:tcW w:w="71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85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-38.15</w:t>
            </w:r>
          </w:p>
        </w:tc>
        <w:tc>
          <w:tcPr>
            <w:tcW w:w="9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-4.39</w:t>
            </w:r>
          </w:p>
        </w:tc>
      </w:tr>
      <w:bookmarkEnd w:id="7"/>
    </w:tbl>
    <w:p>
      <w:pPr>
        <w:pStyle w:val="8"/>
        <w:spacing w:line="300" w:lineRule="atLeast"/>
        <w:jc w:val="center"/>
        <w:rPr>
          <w:rFonts w:hint="eastAsia"/>
          <w:color w:val="C00000"/>
          <w:sz w:val="22"/>
          <w:szCs w:val="22"/>
          <w:highlight w:val="none"/>
          <w:lang w:eastAsia="zh-CN"/>
        </w:rPr>
        <w:sectPr>
          <w:pgSz w:w="11906" w:h="16838"/>
          <w:pgMar w:top="2098" w:right="1474" w:bottom="2041" w:left="1587" w:header="851" w:footer="992" w:gutter="0"/>
          <w:pgNumType w:fmt="decimal"/>
          <w:cols w:space="425" w:num="1"/>
          <w:docGrid w:type="lines" w:linePitch="312" w:charSpace="0"/>
        </w:sectPr>
      </w:pPr>
    </w:p>
    <w:p>
      <w:pPr>
        <w:pStyle w:val="8"/>
        <w:spacing w:line="300" w:lineRule="atLeast"/>
        <w:jc w:val="center"/>
        <w:rPr>
          <w:rFonts w:hint="eastAsia"/>
          <w:color w:val="C00000"/>
          <w:sz w:val="22"/>
          <w:szCs w:val="22"/>
          <w:highlight w:val="none"/>
          <w:lang w:eastAsia="zh-CN"/>
        </w:rPr>
        <w:sectPr>
          <w:pgSz w:w="16838" w:h="11906" w:orient="landscape"/>
          <w:pgMar w:top="1800" w:right="1383" w:bottom="1800" w:left="1440" w:header="851" w:footer="992" w:gutter="0"/>
          <w:pgNumType w:fmt="decimal"/>
          <w:cols w:space="425" w:num="1"/>
          <w:docGrid w:type="lines" w:linePitch="312" w:charSpace="0"/>
        </w:sectPr>
      </w:pPr>
      <w:r>
        <w:rPr>
          <w:rFonts w:hint="eastAsia"/>
          <w:color w:val="C00000"/>
          <w:sz w:val="22"/>
          <w:szCs w:val="22"/>
          <w:highlight w:val="none"/>
          <w:lang w:eastAsia="zh-CN"/>
        </w:rPr>
        <w:drawing>
          <wp:inline distT="0" distB="0" distL="114300" distR="114300">
            <wp:extent cx="8119745" cy="5481955"/>
            <wp:effectExtent l="4445" t="5080" r="10160" b="1841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七、招聘、应聘条件分析</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（一）性别。</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本季度男性求职者4115人，占比56.88%，女性求职者3120人，占比43.12%。</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与上一季度相比，男性求职者减少了2289人，环比下降35.74%，女性求职者减少了2173人，环比下降了41.05%。</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与去年同期相比，男性求职者增加了500人，同比上升13.83%，女性求职者减少了832人，同比下降21.05%。</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C00000"/>
          <w:kern w:val="2"/>
          <w:sz w:val="28"/>
          <w:szCs w:val="28"/>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表9. 按性别分组的供求人数</w:t>
      </w:r>
    </w:p>
    <w:tbl>
      <w:tblPr>
        <w:tblStyle w:val="9"/>
        <w:tblW w:w="4906"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1753"/>
        <w:gridCol w:w="1610"/>
        <w:gridCol w:w="1617"/>
        <w:gridCol w:w="1886"/>
        <w:gridCol w:w="187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397" w:hRule="atLeast"/>
          <w:tblCellSpacing w:w="0" w:type="dxa"/>
          <w:jc w:val="center"/>
        </w:trPr>
        <w:tc>
          <w:tcPr>
            <w:tcW w:w="100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求职人员性别</w:t>
            </w:r>
          </w:p>
        </w:tc>
        <w:tc>
          <w:tcPr>
            <w:tcW w:w="92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求职人数(人)</w:t>
            </w:r>
          </w:p>
        </w:tc>
        <w:tc>
          <w:tcPr>
            <w:tcW w:w="9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所占比重(%)</w:t>
            </w:r>
          </w:p>
        </w:tc>
        <w:tc>
          <w:tcPr>
            <w:tcW w:w="107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与上季度相比求职变化(%)</w:t>
            </w:r>
          </w:p>
        </w:tc>
        <w:tc>
          <w:tcPr>
            <w:tcW w:w="107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 求职变化(%)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799" w:hRule="atLeast"/>
          <w:tblCellSpacing w:w="0" w:type="dxa"/>
          <w:jc w:val="center"/>
        </w:trPr>
        <w:tc>
          <w:tcPr>
            <w:tcW w:w="100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Times New Roman" w:hAnsi="Times New Roman" w:eastAsia="仿宋_GB2312" w:cs="Times New Roman"/>
                <w:color w:val="auto"/>
                <w:kern w:val="2"/>
                <w:sz w:val="24"/>
                <w:szCs w:val="24"/>
                <w:highlight w:val="none"/>
                <w:lang w:val="en-US" w:eastAsia="zh-CN" w:bidi="ar-SA"/>
              </w:rPr>
            </w:pPr>
            <w:bookmarkStart w:id="8" w:name="OLE_LINK24" w:colFirst="1" w:colLast="1"/>
            <w:r>
              <w:rPr>
                <w:rFonts w:hint="eastAsia" w:ascii="Times New Roman" w:hAnsi="Times New Roman" w:eastAsia="仿宋_GB2312" w:cs="Times New Roman"/>
                <w:color w:val="auto"/>
                <w:kern w:val="2"/>
                <w:sz w:val="24"/>
                <w:szCs w:val="24"/>
                <w:highlight w:val="none"/>
                <w:lang w:val="en-US" w:eastAsia="zh-CN" w:bidi="ar-SA"/>
              </w:rPr>
              <w:t>男</w:t>
            </w:r>
          </w:p>
        </w:tc>
        <w:tc>
          <w:tcPr>
            <w:tcW w:w="92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4,115</w:t>
            </w:r>
          </w:p>
        </w:tc>
        <w:tc>
          <w:tcPr>
            <w:tcW w:w="9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56.88</w:t>
            </w:r>
          </w:p>
        </w:tc>
        <w:tc>
          <w:tcPr>
            <w:tcW w:w="107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-35.74</w:t>
            </w:r>
          </w:p>
        </w:tc>
        <w:tc>
          <w:tcPr>
            <w:tcW w:w="107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13.83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799" w:hRule="atLeast"/>
          <w:tblCellSpacing w:w="0" w:type="dxa"/>
          <w:jc w:val="center"/>
        </w:trPr>
        <w:tc>
          <w:tcPr>
            <w:tcW w:w="100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女</w:t>
            </w:r>
          </w:p>
        </w:tc>
        <w:tc>
          <w:tcPr>
            <w:tcW w:w="92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3,120</w:t>
            </w:r>
          </w:p>
        </w:tc>
        <w:tc>
          <w:tcPr>
            <w:tcW w:w="9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43.12</w:t>
            </w:r>
          </w:p>
        </w:tc>
        <w:tc>
          <w:tcPr>
            <w:tcW w:w="107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-41.05</w:t>
            </w:r>
          </w:p>
        </w:tc>
        <w:tc>
          <w:tcPr>
            <w:tcW w:w="107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-21.05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815" w:hRule="atLeast"/>
          <w:tblCellSpacing w:w="0" w:type="dxa"/>
          <w:jc w:val="center"/>
        </w:trPr>
        <w:tc>
          <w:tcPr>
            <w:tcW w:w="100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合计</w:t>
            </w:r>
          </w:p>
        </w:tc>
        <w:tc>
          <w:tcPr>
            <w:tcW w:w="92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7,235</w:t>
            </w:r>
          </w:p>
        </w:tc>
        <w:tc>
          <w:tcPr>
            <w:tcW w:w="9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100.00</w:t>
            </w:r>
          </w:p>
        </w:tc>
        <w:tc>
          <w:tcPr>
            <w:tcW w:w="107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-38.15</w:t>
            </w:r>
          </w:p>
        </w:tc>
        <w:tc>
          <w:tcPr>
            <w:tcW w:w="107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-4.39</w:t>
            </w:r>
          </w:p>
        </w:tc>
      </w:tr>
      <w:bookmarkEnd w:id="8"/>
    </w:tbl>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Times New Roman" w:hAnsi="Times New Roman" w:eastAsia="仿宋_GB2312" w:cs="Times New Roman"/>
          <w:color w:val="auto"/>
          <w:kern w:val="2"/>
          <w:sz w:val="24"/>
          <w:szCs w:val="24"/>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jc w:val="center"/>
        <w:textAlignment w:val="auto"/>
        <w:rPr>
          <w:rFonts w:hint="eastAsia"/>
          <w:color w:val="C00000"/>
          <w:sz w:val="22"/>
          <w:szCs w:val="22"/>
          <w:highlight w:val="none"/>
        </w:rPr>
        <w:sectPr>
          <w:pgSz w:w="11906" w:h="16838"/>
          <w:pgMar w:top="2098" w:right="1474" w:bottom="2041" w:left="1587" w:header="851" w:footer="992" w:gutter="0"/>
          <w:pgNumType w:fmt="decimal"/>
          <w:cols w:space="425" w:num="1"/>
          <w:docGrid w:type="lines" w:linePitch="312" w:charSpace="0"/>
        </w:sect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440" w:firstLineChars="200"/>
        <w:textAlignment w:val="auto"/>
        <w:rPr>
          <w:rFonts w:hint="eastAsia" w:ascii="楷体_GB2312" w:hAnsi="楷体_GB2312" w:eastAsia="楷体_GB2312" w:cs="楷体_GB2312"/>
          <w:color w:val="C00000"/>
          <w:kern w:val="2"/>
          <w:sz w:val="32"/>
          <w:szCs w:val="32"/>
          <w:highlight w:val="none"/>
          <w:lang w:val="en-US" w:eastAsia="zh-CN" w:bidi="ar-SA"/>
        </w:rPr>
      </w:pPr>
      <w:r>
        <w:rPr>
          <w:rFonts w:hint="eastAsia" w:eastAsia="宋体"/>
          <w:color w:val="C00000"/>
          <w:sz w:val="22"/>
          <w:szCs w:val="22"/>
          <w:highlight w:val="none"/>
          <w:lang w:eastAsia="zh-CN"/>
        </w:rPr>
        <w:drawing>
          <wp:anchor distT="0" distB="0" distL="114300" distR="114300" simplePos="0" relativeHeight="251662336" behindDoc="0" locked="0" layoutInCell="1" allowOverlap="1">
            <wp:simplePos x="0" y="0"/>
            <wp:positionH relativeFrom="column">
              <wp:posOffset>88265</wp:posOffset>
            </wp:positionH>
            <wp:positionV relativeFrom="paragraph">
              <wp:posOffset>109855</wp:posOffset>
            </wp:positionV>
            <wp:extent cx="5416550" cy="3618230"/>
            <wp:effectExtent l="4445" t="4445" r="8255" b="1587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textAlignment w:val="auto"/>
        <w:rPr>
          <w:rFonts w:hint="eastAsia" w:ascii="楷体_GB2312" w:hAnsi="楷体_GB2312" w:eastAsia="楷体_GB2312" w:cs="楷体_GB2312"/>
          <w:color w:val="C00000"/>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C00000"/>
          <w:kern w:val="2"/>
          <w:sz w:val="32"/>
          <w:szCs w:val="32"/>
          <w:highlight w:val="none"/>
          <w:lang w:val="en-US" w:eastAsia="zh-CN" w:bidi="ar-SA"/>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（二）年龄。</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用人单位需求用人年龄在16-24岁人员占6.98%，25-34岁人员占比30.69%，35-44岁人员占32.01%，45岁以上人员占5.91%，对年龄无要求的占24.41%。</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与上一季度相比，需求年龄在16-24岁的环比下降了54.49%，在25-34岁的环比下降了11.15%，在35-44岁的环比下降了4.64%，45岁以上的环比下降了51.90%，对年龄无要求的环比下降了29.05%。</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与去年同期相比，需求年龄在16-24岁的同比下降了57.24%，在25-34岁的同比下降了19.87%，在35-44岁的同比上升了76.30%，45岁以上的同比上升了73.35%，对年龄无要求的同比下降了9.50%。</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求职者的年龄在16-24岁人员占8.33%，25-34岁的占比27.56%，35-44岁人员占32.38%，45岁以上的占比31.72%。</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与上一季度相比，求职年龄在16-24岁的环比下降了68.10%，在25-34岁的环比下降了45.56%，在35-44岁的环比下降了39.68%，45岁以上的环比上升了1.55%。</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与去年同期相比，求职年龄在16-24岁的同比下降了53.58%，在25-34岁的同比下降了37.22%，在35-44岁的同比上升了19.54%，45岁以上的同比上升了102.74%。</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仿宋_GB2312" w:hAnsi="仿宋_GB2312" w:eastAsia="仿宋_GB2312" w:cs="仿宋_GB2312"/>
          <w:color w:val="C00000"/>
          <w:sz w:val="32"/>
          <w:szCs w:val="32"/>
          <w:highlight w:val="none"/>
        </w:rPr>
        <w:sectPr>
          <w:pgSz w:w="11906" w:h="16838"/>
          <w:pgMar w:top="2098" w:right="1474" w:bottom="2041" w:left="1587" w:header="851" w:footer="992" w:gutter="0"/>
          <w:pgNumType w:fmt="decimal"/>
          <w:cols w:space="425" w:num="1"/>
          <w:docGrid w:type="lines" w:linePitch="312" w:charSpace="0"/>
        </w:sect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表10. 按年龄分组的供求人数</w:t>
      </w:r>
    </w:p>
    <w:tbl>
      <w:tblPr>
        <w:tblStyle w:val="9"/>
        <w:tblW w:w="4998"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1527"/>
        <w:gridCol w:w="1140"/>
        <w:gridCol w:w="1188"/>
        <w:gridCol w:w="1123"/>
        <w:gridCol w:w="1123"/>
        <w:gridCol w:w="1140"/>
        <w:gridCol w:w="1188"/>
        <w:gridCol w:w="1123"/>
        <w:gridCol w:w="1123"/>
        <w:gridCol w:w="1224"/>
        <w:gridCol w:w="1019"/>
        <w:gridCol w:w="115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75" w:hRule="atLeast"/>
          <w:tblCellSpacing w:w="0" w:type="dxa"/>
          <w:jc w:val="center"/>
        </w:trPr>
        <w:tc>
          <w:tcPr>
            <w:tcW w:w="543" w:type="pct"/>
            <w:vMerge w:val="restar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年龄 　</w:t>
            </w:r>
          </w:p>
        </w:tc>
        <w:tc>
          <w:tcPr>
            <w:tcW w:w="4456" w:type="pct"/>
            <w:gridSpan w:val="11"/>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劳动力供求人数比较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2372" w:hRule="atLeast"/>
          <w:tblCellSpacing w:w="0" w:type="dxa"/>
          <w:jc w:val="center"/>
        </w:trPr>
        <w:tc>
          <w:tcPr>
            <w:tcW w:w="543" w:type="pct"/>
            <w:vMerge w:val="continue"/>
            <w:tcBorders>
              <w:top w:val="outset" w:color="auto" w:sz="6" w:space="0"/>
              <w:left w:val="outset" w:color="auto" w:sz="6" w:space="0"/>
              <w:bottom w:val="outset" w:color="auto" w:sz="6" w:space="0"/>
              <w:right w:val="outset" w:color="auto" w:sz="6" w:space="0"/>
            </w:tcBorders>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p>
        </w:tc>
        <w:tc>
          <w:tcPr>
            <w:tcW w:w="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需求人数 (人)</w:t>
            </w:r>
          </w:p>
        </w:tc>
        <w:tc>
          <w:tcPr>
            <w:tcW w:w="42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需求比重(%)</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与上季度相比需求变化(%)</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与去年同期相比需求变化(%)</w:t>
            </w:r>
          </w:p>
        </w:tc>
        <w:tc>
          <w:tcPr>
            <w:tcW w:w="40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求职人数 (人)</w:t>
            </w:r>
          </w:p>
        </w:tc>
        <w:tc>
          <w:tcPr>
            <w:tcW w:w="42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求职比重(%)</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与上季度相比求职变化(%)</w:t>
            </w:r>
          </w:p>
        </w:tc>
        <w:tc>
          <w:tcPr>
            <w:tcW w:w="399"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与去年同期相比求职变化(%)</w:t>
            </w:r>
          </w:p>
        </w:tc>
        <w:tc>
          <w:tcPr>
            <w:tcW w:w="4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求人倍率</w:t>
            </w:r>
          </w:p>
        </w:tc>
        <w:tc>
          <w:tcPr>
            <w:tcW w:w="36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与上季度相比供求变化</w:t>
            </w:r>
          </w:p>
        </w:tc>
        <w:tc>
          <w:tcPr>
            <w:tcW w:w="40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与去年同期相比供求变化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36" w:hRule="atLeast"/>
          <w:tblCellSpacing w:w="0" w:type="dxa"/>
          <w:jc w:val="center"/>
        </w:trPr>
        <w:tc>
          <w:tcPr>
            <w:tcW w:w="54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bookmarkStart w:id="9" w:name="OLE_LINK4" w:colFirst="5" w:colLast="6"/>
            <w:bookmarkStart w:id="10" w:name="OLE_LINK3" w:colFirst="2" w:colLast="2"/>
            <w:r>
              <w:rPr>
                <w:rFonts w:hint="eastAsia" w:ascii="Times New Roman" w:hAnsi="Times New Roman" w:eastAsia="仿宋_GB2312" w:cs="Times New Roman"/>
                <w:b/>
                <w:bCs/>
                <w:color w:val="auto"/>
                <w:kern w:val="2"/>
                <w:sz w:val="24"/>
                <w:szCs w:val="24"/>
                <w:highlight w:val="none"/>
                <w:lang w:val="en-US" w:eastAsia="zh-CN" w:bidi="ar-SA"/>
              </w:rPr>
              <w:t>16-24岁</w:t>
            </w:r>
          </w:p>
        </w:tc>
        <w:tc>
          <w:tcPr>
            <w:tcW w:w="11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806</w:t>
            </w:r>
          </w:p>
        </w:tc>
        <w:tc>
          <w:tcPr>
            <w:tcW w:w="118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6.98</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-54.49</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-57.24</w:t>
            </w:r>
          </w:p>
        </w:tc>
        <w:tc>
          <w:tcPr>
            <w:tcW w:w="11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603</w:t>
            </w:r>
          </w:p>
        </w:tc>
        <w:tc>
          <w:tcPr>
            <w:tcW w:w="118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8.33</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-68.10</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-53.58</w:t>
            </w:r>
          </w:p>
        </w:tc>
        <w:tc>
          <w:tcPr>
            <w:tcW w:w="122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1.73</w:t>
            </w:r>
          </w:p>
        </w:tc>
        <w:tc>
          <w:tcPr>
            <w:tcW w:w="101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0.45</w:t>
            </w:r>
          </w:p>
        </w:tc>
        <w:tc>
          <w:tcPr>
            <w:tcW w:w="115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-0.13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36" w:hRule="atLeast"/>
          <w:tblCellSpacing w:w="0" w:type="dxa"/>
          <w:jc w:val="center"/>
        </w:trPr>
        <w:tc>
          <w:tcPr>
            <w:tcW w:w="54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25-34岁</w:t>
            </w:r>
          </w:p>
        </w:tc>
        <w:tc>
          <w:tcPr>
            <w:tcW w:w="11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3,545</w:t>
            </w:r>
          </w:p>
        </w:tc>
        <w:tc>
          <w:tcPr>
            <w:tcW w:w="118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30.69</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-11.15</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-19.87</w:t>
            </w:r>
          </w:p>
        </w:tc>
        <w:tc>
          <w:tcPr>
            <w:tcW w:w="11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1,994</w:t>
            </w:r>
          </w:p>
        </w:tc>
        <w:tc>
          <w:tcPr>
            <w:tcW w:w="118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27.56</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-45.56</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-37.22</w:t>
            </w:r>
          </w:p>
        </w:tc>
        <w:tc>
          <w:tcPr>
            <w:tcW w:w="122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2.17</w:t>
            </w:r>
          </w:p>
        </w:tc>
        <w:tc>
          <w:tcPr>
            <w:tcW w:w="101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0.74</w:t>
            </w:r>
          </w:p>
        </w:tc>
        <w:tc>
          <w:tcPr>
            <w:tcW w:w="115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0.37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51" w:hRule="atLeast"/>
          <w:tblCellSpacing w:w="0" w:type="dxa"/>
          <w:jc w:val="center"/>
        </w:trPr>
        <w:tc>
          <w:tcPr>
            <w:tcW w:w="54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35-44岁</w:t>
            </w:r>
          </w:p>
        </w:tc>
        <w:tc>
          <w:tcPr>
            <w:tcW w:w="11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3,697</w:t>
            </w:r>
          </w:p>
        </w:tc>
        <w:tc>
          <w:tcPr>
            <w:tcW w:w="118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32.01</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-4.64</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76.30</w:t>
            </w:r>
          </w:p>
        </w:tc>
        <w:tc>
          <w:tcPr>
            <w:tcW w:w="11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2,343</w:t>
            </w:r>
          </w:p>
        </w:tc>
        <w:tc>
          <w:tcPr>
            <w:tcW w:w="118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32.38</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-39.68</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19.54</w:t>
            </w:r>
          </w:p>
        </w:tc>
        <w:tc>
          <w:tcPr>
            <w:tcW w:w="122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1.97</w:t>
            </w:r>
          </w:p>
        </w:tc>
        <w:tc>
          <w:tcPr>
            <w:tcW w:w="101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0.63</w:t>
            </w:r>
          </w:p>
        </w:tc>
        <w:tc>
          <w:tcPr>
            <w:tcW w:w="115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0.49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36" w:hRule="atLeast"/>
          <w:tblCellSpacing w:w="0" w:type="dxa"/>
          <w:jc w:val="center"/>
        </w:trPr>
        <w:tc>
          <w:tcPr>
            <w:tcW w:w="54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45岁以上</w:t>
            </w:r>
          </w:p>
        </w:tc>
        <w:tc>
          <w:tcPr>
            <w:tcW w:w="11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683</w:t>
            </w:r>
          </w:p>
        </w:tc>
        <w:tc>
          <w:tcPr>
            <w:tcW w:w="118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5.91</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-51.90</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73.35</w:t>
            </w:r>
          </w:p>
        </w:tc>
        <w:tc>
          <w:tcPr>
            <w:tcW w:w="11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2,295</w:t>
            </w:r>
          </w:p>
        </w:tc>
        <w:tc>
          <w:tcPr>
            <w:tcW w:w="118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31.72</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1.55</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102.74</w:t>
            </w:r>
          </w:p>
        </w:tc>
        <w:tc>
          <w:tcPr>
            <w:tcW w:w="122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0.69</w:t>
            </w:r>
          </w:p>
        </w:tc>
        <w:tc>
          <w:tcPr>
            <w:tcW w:w="101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-0.28</w:t>
            </w:r>
          </w:p>
        </w:tc>
        <w:tc>
          <w:tcPr>
            <w:tcW w:w="115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-0.07</w:t>
            </w:r>
          </w:p>
        </w:tc>
      </w:tr>
      <w:bookmarkEnd w:id="9"/>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36" w:hRule="atLeast"/>
          <w:tblCellSpacing w:w="0" w:type="dxa"/>
          <w:jc w:val="center"/>
        </w:trPr>
        <w:tc>
          <w:tcPr>
            <w:tcW w:w="54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无要求</w:t>
            </w:r>
          </w:p>
        </w:tc>
        <w:tc>
          <w:tcPr>
            <w:tcW w:w="11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2,819</w:t>
            </w:r>
          </w:p>
        </w:tc>
        <w:tc>
          <w:tcPr>
            <w:tcW w:w="118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24.41</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-29.05</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-9.50</w:t>
            </w:r>
          </w:p>
        </w:tc>
        <w:tc>
          <w:tcPr>
            <w:tcW w:w="11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highlight w:val="none"/>
                <w:u w:val="none"/>
                <w:lang w:val="en-US" w:eastAsia="zh-CN" w:bidi="ar"/>
              </w:rPr>
              <w:t>——</w:t>
            </w:r>
          </w:p>
        </w:tc>
        <w:tc>
          <w:tcPr>
            <w:tcW w:w="118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highlight w:val="none"/>
                <w:u w:val="none"/>
                <w:lang w:val="en-US" w:eastAsia="zh-CN" w:bidi="ar"/>
              </w:rPr>
              <w:t>——</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highlight w:val="none"/>
                <w:u w:val="none"/>
                <w:lang w:val="en-US" w:eastAsia="zh-CN" w:bidi="ar"/>
              </w:rPr>
              <w:t>——</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highlight w:val="none"/>
                <w:u w:val="none"/>
                <w:lang w:val="en-US" w:eastAsia="zh-CN" w:bidi="ar"/>
              </w:rPr>
              <w:t>——</w:t>
            </w:r>
          </w:p>
        </w:tc>
        <w:tc>
          <w:tcPr>
            <w:tcW w:w="122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highlight w:val="none"/>
                <w:u w:val="none"/>
                <w:lang w:val="en-US" w:eastAsia="zh-CN" w:bidi="ar"/>
              </w:rPr>
              <w:t>——</w:t>
            </w:r>
          </w:p>
        </w:tc>
        <w:tc>
          <w:tcPr>
            <w:tcW w:w="101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highlight w:val="none"/>
                <w:u w:val="none"/>
                <w:lang w:val="en-US" w:eastAsia="zh-CN" w:bidi="ar"/>
              </w:rPr>
              <w:t>——</w:t>
            </w:r>
          </w:p>
        </w:tc>
        <w:tc>
          <w:tcPr>
            <w:tcW w:w="115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highlight w:val="none"/>
                <w:u w:val="none"/>
                <w:lang w:val="en-US" w:eastAsia="zh-CN" w:bidi="ar"/>
              </w:rPr>
              <w:t>——</w:t>
            </w:r>
          </w:p>
        </w:tc>
      </w:tr>
      <w:bookmarkEnd w:id="10"/>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675" w:hRule="atLeast"/>
          <w:tblCellSpacing w:w="0" w:type="dxa"/>
          <w:jc w:val="center"/>
        </w:trPr>
        <w:tc>
          <w:tcPr>
            <w:tcW w:w="54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合计</w:t>
            </w:r>
          </w:p>
        </w:tc>
        <w:tc>
          <w:tcPr>
            <w:tcW w:w="11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11,550</w:t>
            </w:r>
          </w:p>
        </w:tc>
        <w:tc>
          <w:tcPr>
            <w:tcW w:w="118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-23.16</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-3.06</w:t>
            </w:r>
          </w:p>
        </w:tc>
        <w:tc>
          <w:tcPr>
            <w:tcW w:w="114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7,235</w:t>
            </w:r>
          </w:p>
        </w:tc>
        <w:tc>
          <w:tcPr>
            <w:tcW w:w="118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-38.15</w:t>
            </w:r>
          </w:p>
        </w:tc>
        <w:tc>
          <w:tcPr>
            <w:tcW w:w="112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-4.39</w:t>
            </w:r>
          </w:p>
        </w:tc>
        <w:tc>
          <w:tcPr>
            <w:tcW w:w="122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1.60</w:t>
            </w:r>
          </w:p>
        </w:tc>
        <w:tc>
          <w:tcPr>
            <w:tcW w:w="101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0.31</w:t>
            </w:r>
          </w:p>
        </w:tc>
        <w:tc>
          <w:tcPr>
            <w:tcW w:w="1151"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0.03</w:t>
            </w:r>
          </w:p>
        </w:tc>
      </w:tr>
    </w:tbl>
    <w:p>
      <w:pPr>
        <w:pStyle w:val="8"/>
        <w:spacing w:line="300" w:lineRule="atLeast"/>
        <w:jc w:val="center"/>
        <w:rPr>
          <w:rFonts w:hint="eastAsia" w:eastAsia="宋体"/>
          <w:color w:val="C00000"/>
          <w:sz w:val="22"/>
          <w:szCs w:val="22"/>
          <w:highlight w:val="none"/>
          <w:lang w:eastAsia="zh-CN"/>
        </w:rPr>
        <w:sectPr>
          <w:pgSz w:w="16838" w:h="11906" w:orient="landscape"/>
          <w:pgMar w:top="1800" w:right="1383" w:bottom="1800" w:left="1440" w:header="851" w:footer="992" w:gutter="0"/>
          <w:pgNumType w:fmt="decimal"/>
          <w:cols w:space="425" w:num="1"/>
          <w:docGrid w:type="lines" w:linePitch="312" w:charSpace="0"/>
        </w:sectPr>
      </w:pPr>
      <w:r>
        <w:rPr>
          <w:rFonts w:hint="eastAsia" w:eastAsia="宋体"/>
          <w:color w:val="C00000"/>
          <w:sz w:val="22"/>
          <w:szCs w:val="22"/>
          <w:highlight w:val="none"/>
          <w:lang w:eastAsia="zh-CN"/>
        </w:rPr>
        <w:drawing>
          <wp:inline distT="0" distB="0" distL="114300" distR="114300">
            <wp:extent cx="8021955" cy="5262245"/>
            <wp:effectExtent l="4445" t="5080" r="12700" b="952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（三）文化程度。</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用人单位对需求的文化程度在初中及以下、高中的占比为2.48%和14.43%，要求大专、本科、硕士及以上学历，分别占岗位总数的25.70%、15.75%和0.17%，无学历要求的占41.46%；</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一季度相比，用人单位对文化程度要求在大专、硕士以上和无学历要求的分别环比下降5.78%，60.78%和47.02%，其余需求均有不同程度的上升。与去年同期相比，要求本科学历和无学历要求的分别同比上升57.63%和66.46%，其余文化程度需求均有所下降。</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求职者文化程度为初中及以下的占比23.43%，高中的占比为32.63%，大专的占比23.75%，本科及硕士以上的分别占比20.08%和0.11%。</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一季度相比，初中及以下和高中学历分别环比上升134.12%和4.10%，其余文化程度求职者均有所下降。与去年同期相比，初中及以下、本科和硕士以上学历分别同比上升了26.40%、73.18%和60%，其余文化程度求职者有所下降。</w:t>
      </w:r>
    </w:p>
    <w:p>
      <w:pPr>
        <w:pStyle w:val="8"/>
        <w:spacing w:line="300" w:lineRule="atLeast"/>
        <w:jc w:val="center"/>
        <w:rPr>
          <w:rFonts w:hint="eastAsia"/>
          <w:color w:val="auto"/>
          <w:sz w:val="22"/>
          <w:szCs w:val="22"/>
          <w:highlight w:val="none"/>
        </w:rPr>
      </w:pPr>
      <w:r>
        <w:rPr>
          <w:rFonts w:hint="eastAsia"/>
          <w:color w:val="auto"/>
          <w:sz w:val="22"/>
          <w:szCs w:val="22"/>
          <w:highlight w:val="none"/>
        </w:rPr>
        <w:t>　</w:t>
      </w:r>
    </w:p>
    <w:p>
      <w:pPr>
        <w:pStyle w:val="8"/>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color w:val="C00000"/>
          <w:sz w:val="22"/>
          <w:szCs w:val="22"/>
          <w:highlight w:val="none"/>
        </w:rPr>
        <w:sectPr>
          <w:pgSz w:w="11906" w:h="16838"/>
          <w:pgMar w:top="2098" w:right="1474" w:bottom="2041" w:left="1587" w:header="851" w:footer="992" w:gutter="0"/>
          <w:pgNumType w:fmt="decimal"/>
          <w:cols w:space="425" w:num="1"/>
          <w:docGrid w:type="lines" w:linePitch="312" w:charSpace="0"/>
        </w:sect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表11. 按文化程度分组的供求人数</w:t>
      </w:r>
    </w:p>
    <w:tbl>
      <w:tblPr>
        <w:tblStyle w:val="9"/>
        <w:tblW w:w="4997"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2732"/>
        <w:gridCol w:w="943"/>
        <w:gridCol w:w="974"/>
        <w:gridCol w:w="1157"/>
        <w:gridCol w:w="1216"/>
        <w:gridCol w:w="867"/>
        <w:gridCol w:w="962"/>
        <w:gridCol w:w="1159"/>
        <w:gridCol w:w="1370"/>
        <w:gridCol w:w="704"/>
        <w:gridCol w:w="962"/>
        <w:gridCol w:w="962"/>
        <w:gridCol w:w="5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550" w:hRule="atLeast"/>
          <w:tblCellSpacing w:w="0" w:type="dxa"/>
          <w:jc w:val="center"/>
        </w:trPr>
        <w:tc>
          <w:tcPr>
            <w:tcW w:w="971" w:type="pct"/>
            <w:vMerge w:val="restar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文化程度</w:t>
            </w:r>
          </w:p>
        </w:tc>
        <w:tc>
          <w:tcPr>
            <w:tcW w:w="4028" w:type="pct"/>
            <w:gridSpan w:val="12"/>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劳动力供求人数比较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gridAfter w:val="1"/>
          <w:wAfter w:w="15" w:type="pct"/>
          <w:trHeight w:val="2041" w:hRule="atLeast"/>
          <w:tblCellSpacing w:w="0" w:type="dxa"/>
          <w:jc w:val="center"/>
        </w:trPr>
        <w:tc>
          <w:tcPr>
            <w:tcW w:w="971" w:type="pct"/>
            <w:vMerge w:val="continue"/>
            <w:tcBorders>
              <w:top w:val="outset" w:color="auto" w:sz="6" w:space="0"/>
              <w:left w:val="outset" w:color="auto" w:sz="6" w:space="0"/>
              <w:bottom w:val="outset" w:color="auto" w:sz="6" w:space="0"/>
              <w:right w:val="outset" w:color="auto" w:sz="6" w:space="0"/>
            </w:tcBorders>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p>
        </w:tc>
        <w:tc>
          <w:tcPr>
            <w:tcW w:w="33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需求人数(人)</w:t>
            </w:r>
          </w:p>
        </w:tc>
        <w:tc>
          <w:tcPr>
            <w:tcW w:w="34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需求比重(%)</w:t>
            </w:r>
          </w:p>
        </w:tc>
        <w:tc>
          <w:tcPr>
            <w:tcW w:w="41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与上季度相比需求变化(%)</w:t>
            </w:r>
          </w:p>
        </w:tc>
        <w:tc>
          <w:tcPr>
            <w:tcW w:w="43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与去年同期相比需求变化(%)</w:t>
            </w:r>
          </w:p>
        </w:tc>
        <w:tc>
          <w:tcPr>
            <w:tcW w:w="308"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求职人数(人)</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求职比重(%)</w:t>
            </w:r>
          </w:p>
        </w:tc>
        <w:tc>
          <w:tcPr>
            <w:tcW w:w="41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与上季度相比求职变化(%)</w:t>
            </w:r>
          </w:p>
        </w:tc>
        <w:tc>
          <w:tcPr>
            <w:tcW w:w="48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与去年同期相比求职变化(%)</w:t>
            </w:r>
          </w:p>
        </w:tc>
        <w:tc>
          <w:tcPr>
            <w:tcW w:w="25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求人倍率</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与上季度相比供求变化</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 同期相比供求变化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gridAfter w:val="1"/>
          <w:wAfter w:w="15" w:type="pct"/>
          <w:trHeight w:val="522" w:hRule="atLeast"/>
          <w:tblCellSpacing w:w="0" w:type="dxa"/>
          <w:jc w:val="center"/>
        </w:trPr>
        <w:tc>
          <w:tcPr>
            <w:tcW w:w="97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仿宋_GB2312" w:cs="Times New Roman"/>
                <w:b/>
                <w:bCs/>
                <w:color w:val="auto"/>
                <w:kern w:val="2"/>
                <w:sz w:val="24"/>
                <w:szCs w:val="24"/>
                <w:highlight w:val="none"/>
                <w:lang w:val="en-US" w:eastAsia="zh-CN" w:bidi="ar-SA"/>
              </w:rPr>
            </w:pPr>
            <w:bookmarkStart w:id="11" w:name="OLE_LINK23" w:colFirst="9" w:colLast="9"/>
            <w:bookmarkStart w:id="12" w:name="OLE_LINK6" w:colFirst="5" w:colLast="5"/>
            <w:bookmarkStart w:id="13" w:name="OLE_LINK26" w:colFirst="5" w:colLast="6"/>
            <w:bookmarkStart w:id="14" w:name="OLE_LINK8" w:colFirst="6" w:colLast="6"/>
            <w:bookmarkStart w:id="15" w:name="OLE_LINK7" w:colFirst="2" w:colLast="2"/>
            <w:bookmarkStart w:id="16" w:name="OLE_LINK5" w:colFirst="1" w:colLast="1"/>
            <w:bookmarkStart w:id="17" w:name="OLE_LINK25" w:colFirst="1" w:colLast="2"/>
            <w:bookmarkStart w:id="18" w:name="OLE_LINK22" w:colFirst="1" w:colLast="1"/>
            <w:r>
              <w:rPr>
                <w:rFonts w:hint="eastAsia" w:ascii="Times New Roman" w:hAnsi="Times New Roman" w:eastAsia="仿宋_GB2312" w:cs="Times New Roman"/>
                <w:b/>
                <w:bCs/>
                <w:color w:val="auto"/>
                <w:kern w:val="2"/>
                <w:sz w:val="24"/>
                <w:szCs w:val="24"/>
                <w:highlight w:val="none"/>
                <w:lang w:val="en-US" w:eastAsia="zh-CN" w:bidi="ar-SA"/>
              </w:rPr>
              <w:t>初中及以下</w:t>
            </w:r>
          </w:p>
        </w:tc>
        <w:tc>
          <w:tcPr>
            <w:tcW w:w="94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287</w:t>
            </w:r>
          </w:p>
        </w:tc>
        <w:tc>
          <w:tcPr>
            <w:tcW w:w="97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2.48</w:t>
            </w:r>
          </w:p>
        </w:tc>
        <w:tc>
          <w:tcPr>
            <w:tcW w:w="115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100.70</w:t>
            </w:r>
          </w:p>
        </w:tc>
        <w:tc>
          <w:tcPr>
            <w:tcW w:w="121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-81.40</w:t>
            </w:r>
          </w:p>
        </w:tc>
        <w:tc>
          <w:tcPr>
            <w:tcW w:w="86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1,695</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23.43</w:t>
            </w:r>
          </w:p>
        </w:tc>
        <w:tc>
          <w:tcPr>
            <w:tcW w:w="115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134.12</w:t>
            </w:r>
          </w:p>
        </w:tc>
        <w:tc>
          <w:tcPr>
            <w:tcW w:w="137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26.40</w:t>
            </w:r>
          </w:p>
        </w:tc>
        <w:tc>
          <w:tcPr>
            <w:tcW w:w="7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0.83</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-0.14</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gridAfter w:val="1"/>
          <w:wAfter w:w="15" w:type="pct"/>
          <w:trHeight w:val="522" w:hRule="atLeast"/>
          <w:tblCellSpacing w:w="0" w:type="dxa"/>
          <w:jc w:val="center"/>
        </w:trPr>
        <w:tc>
          <w:tcPr>
            <w:tcW w:w="97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高中</w:t>
            </w:r>
          </w:p>
        </w:tc>
        <w:tc>
          <w:tcPr>
            <w:tcW w:w="94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1,667</w:t>
            </w:r>
          </w:p>
        </w:tc>
        <w:tc>
          <w:tcPr>
            <w:tcW w:w="97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14.43</w:t>
            </w:r>
          </w:p>
        </w:tc>
        <w:tc>
          <w:tcPr>
            <w:tcW w:w="115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61.69</w:t>
            </w:r>
          </w:p>
        </w:tc>
        <w:tc>
          <w:tcPr>
            <w:tcW w:w="121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-45.66</w:t>
            </w:r>
          </w:p>
        </w:tc>
        <w:tc>
          <w:tcPr>
            <w:tcW w:w="86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2,361</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32.63</w:t>
            </w:r>
          </w:p>
        </w:tc>
        <w:tc>
          <w:tcPr>
            <w:tcW w:w="115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4.10</w:t>
            </w:r>
          </w:p>
        </w:tc>
        <w:tc>
          <w:tcPr>
            <w:tcW w:w="137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-13.89</w:t>
            </w:r>
          </w:p>
        </w:tc>
        <w:tc>
          <w:tcPr>
            <w:tcW w:w="7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1.37</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0.14</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-0.13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gridAfter w:val="1"/>
          <w:wAfter w:w="15" w:type="pct"/>
          <w:trHeight w:val="568" w:hRule="atLeast"/>
          <w:tblCellSpacing w:w="0" w:type="dxa"/>
          <w:jc w:val="center"/>
        </w:trPr>
        <w:tc>
          <w:tcPr>
            <w:tcW w:w="97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其中：职高、技校、中专</w:t>
            </w:r>
          </w:p>
        </w:tc>
        <w:tc>
          <w:tcPr>
            <w:tcW w:w="94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866</w:t>
            </w:r>
          </w:p>
        </w:tc>
        <w:tc>
          <w:tcPr>
            <w:tcW w:w="97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51.95</w:t>
            </w:r>
          </w:p>
        </w:tc>
        <w:tc>
          <w:tcPr>
            <w:tcW w:w="115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132.80</w:t>
            </w:r>
          </w:p>
        </w:tc>
        <w:tc>
          <w:tcPr>
            <w:tcW w:w="121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-37.20</w:t>
            </w:r>
          </w:p>
        </w:tc>
        <w:tc>
          <w:tcPr>
            <w:tcW w:w="86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633</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26.81</w:t>
            </w:r>
          </w:p>
        </w:tc>
        <w:tc>
          <w:tcPr>
            <w:tcW w:w="115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-41.55</w:t>
            </w:r>
          </w:p>
        </w:tc>
        <w:tc>
          <w:tcPr>
            <w:tcW w:w="137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-16.71</w:t>
            </w:r>
          </w:p>
        </w:tc>
        <w:tc>
          <w:tcPr>
            <w:tcW w:w="7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2.65</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1.72</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0.22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gridAfter w:val="1"/>
          <w:wAfter w:w="15" w:type="pct"/>
          <w:trHeight w:val="522" w:hRule="atLeast"/>
          <w:tblCellSpacing w:w="0" w:type="dxa"/>
          <w:jc w:val="center"/>
        </w:trPr>
        <w:tc>
          <w:tcPr>
            <w:tcW w:w="97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大专</w:t>
            </w:r>
          </w:p>
        </w:tc>
        <w:tc>
          <w:tcPr>
            <w:tcW w:w="94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2,968</w:t>
            </w:r>
          </w:p>
        </w:tc>
        <w:tc>
          <w:tcPr>
            <w:tcW w:w="97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25.70</w:t>
            </w:r>
          </w:p>
        </w:tc>
        <w:tc>
          <w:tcPr>
            <w:tcW w:w="115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-5.78</w:t>
            </w:r>
          </w:p>
        </w:tc>
        <w:tc>
          <w:tcPr>
            <w:tcW w:w="121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-8.59</w:t>
            </w:r>
          </w:p>
        </w:tc>
        <w:tc>
          <w:tcPr>
            <w:tcW w:w="86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1,718</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23.75</w:t>
            </w:r>
          </w:p>
        </w:tc>
        <w:tc>
          <w:tcPr>
            <w:tcW w:w="115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-65.03</w:t>
            </w:r>
          </w:p>
        </w:tc>
        <w:tc>
          <w:tcPr>
            <w:tcW w:w="137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-34.92</w:t>
            </w:r>
          </w:p>
        </w:tc>
        <w:tc>
          <w:tcPr>
            <w:tcW w:w="7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2.39</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0.98</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0.78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gridAfter w:val="1"/>
          <w:wAfter w:w="15" w:type="pct"/>
          <w:trHeight w:val="522" w:hRule="atLeast"/>
          <w:tblCellSpacing w:w="0" w:type="dxa"/>
          <w:jc w:val="center"/>
        </w:trPr>
        <w:tc>
          <w:tcPr>
            <w:tcW w:w="97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大学</w:t>
            </w:r>
          </w:p>
        </w:tc>
        <w:tc>
          <w:tcPr>
            <w:tcW w:w="94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1,819</w:t>
            </w:r>
          </w:p>
        </w:tc>
        <w:tc>
          <w:tcPr>
            <w:tcW w:w="97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15.75</w:t>
            </w:r>
          </w:p>
        </w:tc>
        <w:tc>
          <w:tcPr>
            <w:tcW w:w="115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12.56</w:t>
            </w:r>
          </w:p>
        </w:tc>
        <w:tc>
          <w:tcPr>
            <w:tcW w:w="121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57.63</w:t>
            </w:r>
          </w:p>
        </w:tc>
        <w:tc>
          <w:tcPr>
            <w:tcW w:w="86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1,453</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20.08</w:t>
            </w:r>
          </w:p>
        </w:tc>
        <w:tc>
          <w:tcPr>
            <w:tcW w:w="115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-60.99</w:t>
            </w:r>
          </w:p>
        </w:tc>
        <w:tc>
          <w:tcPr>
            <w:tcW w:w="137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73.18</w:t>
            </w:r>
          </w:p>
        </w:tc>
        <w:tc>
          <w:tcPr>
            <w:tcW w:w="7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1.91</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0.7</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gridAfter w:val="1"/>
          <w:wAfter w:w="15" w:type="pct"/>
          <w:trHeight w:val="522" w:hRule="atLeast"/>
          <w:tblCellSpacing w:w="0" w:type="dxa"/>
          <w:jc w:val="center"/>
        </w:trPr>
        <w:tc>
          <w:tcPr>
            <w:tcW w:w="97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硕士以上</w:t>
            </w:r>
          </w:p>
        </w:tc>
        <w:tc>
          <w:tcPr>
            <w:tcW w:w="94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97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0.17</w:t>
            </w:r>
          </w:p>
        </w:tc>
        <w:tc>
          <w:tcPr>
            <w:tcW w:w="115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-60.78</w:t>
            </w:r>
          </w:p>
        </w:tc>
        <w:tc>
          <w:tcPr>
            <w:tcW w:w="121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-23.08</w:t>
            </w:r>
          </w:p>
        </w:tc>
        <w:tc>
          <w:tcPr>
            <w:tcW w:w="86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0.11</w:t>
            </w:r>
          </w:p>
        </w:tc>
        <w:tc>
          <w:tcPr>
            <w:tcW w:w="115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-88.06</w:t>
            </w:r>
          </w:p>
        </w:tc>
        <w:tc>
          <w:tcPr>
            <w:tcW w:w="137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60.00</w:t>
            </w:r>
          </w:p>
        </w:tc>
        <w:tc>
          <w:tcPr>
            <w:tcW w:w="70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3.16</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1.63</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-2.44</w:t>
            </w:r>
          </w:p>
        </w:tc>
      </w:tr>
      <w:bookmarkEnd w:id="11"/>
      <w:bookmarkEnd w:id="12"/>
      <w:bookmarkEnd w:id="13"/>
      <w:bookmarkEnd w:id="14"/>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gridAfter w:val="1"/>
          <w:wAfter w:w="15" w:type="pct"/>
          <w:trHeight w:val="522" w:hRule="atLeast"/>
          <w:tblCellSpacing w:w="0" w:type="dxa"/>
          <w:jc w:val="center"/>
        </w:trPr>
        <w:tc>
          <w:tcPr>
            <w:tcW w:w="97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无要求</w:t>
            </w:r>
          </w:p>
        </w:tc>
        <w:tc>
          <w:tcPr>
            <w:tcW w:w="94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4,789</w:t>
            </w:r>
          </w:p>
        </w:tc>
        <w:tc>
          <w:tcPr>
            <w:tcW w:w="97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41.46</w:t>
            </w:r>
          </w:p>
        </w:tc>
        <w:tc>
          <w:tcPr>
            <w:tcW w:w="115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-47.02</w:t>
            </w:r>
          </w:p>
        </w:tc>
        <w:tc>
          <w:tcPr>
            <w:tcW w:w="121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66.46</w:t>
            </w:r>
          </w:p>
        </w:tc>
        <w:tc>
          <w:tcPr>
            <w:tcW w:w="86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highlight w:val="none"/>
                <w:u w:val="none"/>
                <w:lang w:val="en-US" w:eastAsia="zh-CN" w:bidi="ar"/>
              </w:rPr>
              <w:t>——</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494949"/>
                <w:kern w:val="0"/>
                <w:sz w:val="24"/>
                <w:szCs w:val="24"/>
                <w:highlight w:val="none"/>
                <w:u w:val="none"/>
                <w:lang w:val="en-US" w:eastAsia="zh-CN" w:bidi="ar"/>
              </w:rPr>
              <w:t>——</w:t>
            </w:r>
          </w:p>
        </w:tc>
        <w:tc>
          <w:tcPr>
            <w:tcW w:w="115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hint="default" w:ascii="Times New Roman" w:hAnsi="Times New Roman" w:eastAsia="仿宋_GB2312" w:cs="Times New Roman"/>
                <w:color w:val="auto"/>
                <w:kern w:val="2"/>
                <w:sz w:val="24"/>
                <w:szCs w:val="24"/>
                <w:highlight w:val="none"/>
                <w:lang w:val="en-US" w:eastAsia="zh-CN" w:bidi="ar-SA"/>
              </w:rPr>
            </w:pPr>
          </w:p>
        </w:tc>
        <w:tc>
          <w:tcPr>
            <w:tcW w:w="137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hint="default" w:ascii="Times New Roman" w:hAnsi="Times New Roman" w:eastAsia="仿宋_GB2312" w:cs="Times New Roman"/>
                <w:color w:val="auto"/>
                <w:kern w:val="2"/>
                <w:sz w:val="24"/>
                <w:szCs w:val="24"/>
                <w:highlight w:val="none"/>
                <w:lang w:val="en-US" w:eastAsia="zh-CN" w:bidi="ar-SA"/>
              </w:rPr>
            </w:pPr>
          </w:p>
        </w:tc>
        <w:tc>
          <w:tcPr>
            <w:tcW w:w="25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bookmarkEnd w:id="15"/>
      <w:bookmarkEnd w:id="16"/>
      <w:bookmarkEnd w:id="17"/>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gridAfter w:val="1"/>
          <w:wAfter w:w="15" w:type="pct"/>
          <w:trHeight w:val="550" w:hRule="atLeast"/>
          <w:tblCellSpacing w:w="0" w:type="dxa"/>
          <w:jc w:val="center"/>
        </w:trPr>
        <w:tc>
          <w:tcPr>
            <w:tcW w:w="97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合计</w:t>
            </w:r>
          </w:p>
        </w:tc>
        <w:tc>
          <w:tcPr>
            <w:tcW w:w="94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11,550</w:t>
            </w:r>
          </w:p>
        </w:tc>
        <w:tc>
          <w:tcPr>
            <w:tcW w:w="974"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115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-23.16</w:t>
            </w:r>
          </w:p>
        </w:tc>
        <w:tc>
          <w:tcPr>
            <w:tcW w:w="1216"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-3.06</w:t>
            </w:r>
          </w:p>
        </w:tc>
        <w:tc>
          <w:tcPr>
            <w:tcW w:w="867"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7,235</w:t>
            </w:r>
          </w:p>
        </w:tc>
        <w:tc>
          <w:tcPr>
            <w:tcW w:w="96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115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-38.15</w:t>
            </w:r>
          </w:p>
        </w:tc>
        <w:tc>
          <w:tcPr>
            <w:tcW w:w="1370"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-4.39</w:t>
            </w:r>
          </w:p>
        </w:tc>
        <w:tc>
          <w:tcPr>
            <w:tcW w:w="25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34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bookmarkEnd w:id="18"/>
    </w:tbl>
    <w:p>
      <w:pPr>
        <w:pStyle w:val="8"/>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宋体"/>
          <w:color w:val="C00000"/>
          <w:sz w:val="22"/>
          <w:szCs w:val="22"/>
          <w:highlight w:val="none"/>
          <w:lang w:eastAsia="zh-CN"/>
        </w:rPr>
        <w:sectPr>
          <w:pgSz w:w="16838" w:h="11906" w:orient="landscape"/>
          <w:pgMar w:top="1800" w:right="1383" w:bottom="1800" w:left="1440" w:header="851" w:footer="992" w:gutter="0"/>
          <w:pgNumType w:fmt="decimal"/>
          <w:cols w:space="425" w:num="1"/>
          <w:docGrid w:type="lines" w:linePitch="312" w:charSpace="0"/>
        </w:sectPr>
      </w:pPr>
      <w:r>
        <w:rPr>
          <w:rFonts w:hint="eastAsia"/>
          <w:color w:val="C00000"/>
          <w:sz w:val="22"/>
          <w:szCs w:val="22"/>
          <w:highlight w:val="none"/>
          <w:lang w:val="en-US" w:eastAsia="zh-CN"/>
        </w:rPr>
        <w:t xml:space="preserve">    </w:t>
      </w:r>
      <w:r>
        <w:rPr>
          <w:rFonts w:hint="eastAsia" w:eastAsia="宋体"/>
          <w:color w:val="C00000"/>
          <w:sz w:val="22"/>
          <w:szCs w:val="22"/>
          <w:highlight w:val="none"/>
          <w:lang w:eastAsia="zh-CN"/>
        </w:rPr>
        <w:drawing>
          <wp:inline distT="0" distB="0" distL="114300" distR="114300">
            <wp:extent cx="8438515" cy="5502275"/>
            <wp:effectExtent l="4445" t="4445" r="15240" b="1778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（四）技术等级或职称。</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用人单位对技术等级无要求的占80.18%，要求初级专业技术职务和职业资格五级的占比为7.07%和5.62%，中级专业技术职务和职业资格四级的占比为4.82%和1.51%；职业资格一、二级的占比为0.65%、0.03%、0.11%。</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一季度相比，对技术等级无要求的减少了3892人，环比下降29.59%，需求初级专业技术职务增加了29人，环比上升3.68%，需求中级专业技术职务的增加了360人，环比上升182.74%，需求高级专业技术职务的减少了31人。职业资格五级需求人数增加了190人，环比上升41.39%，职业资格四级需求人数减少了155人，环比下降47.11%。职业资格二级需求人数减少了13人，环比下降76.47%，职业资格一级需求人数增加了18人，环比上升31.58%。</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去年同期相比，对技术等级无要求的增加了4960人，同比上升115.32%，需求初级专业技术职务、中级专业技术职务的人数分别减少了2810人和1413人，同比下降77.47%和71.73%，职业资格五级、四级、三级、二级需求人数分别减少了708人、343人、42人、20人，同比下降了52.17%、66.34%、76.36%和83.33%，职业资格一级需求人数增加了63人，同比上升525%。</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求职者无技术等级或职称的占比80.10%，初级专业技术职务和职业资格五级的占比为7.66%和8.17%，中级专业技术职务和职业资格四级的占比为1.84%和1.59%；职业资格二、三级的占比为0.58%、0.07%。</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上季度相比，求职者为初级专业技术职务的增加了329人，环比上升了146.22%，为职业资格五级的增加了359人，环比上升154.74%，为中级专业技术职务的增加了119人，环比上升850%，为职业资格二级的增加了5人，环比上升13.51%，无技术等级或职称的减少了5225人，环比下降了47.41%，为职业资格四级、三级的分别减少了32人和15人，环比下降21.77%和75%，高级专业技术职务的减少了2人。</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去年同期相比，无技术等级或职称的增加了2168人，同比上升59.77%，职业资格五级、四级、三级、二级、一级的求职者分别减少了611人、135人、29人、10人，同比下降50.83%、54%、85.29%、19.23%，初级专业技术职务、中级专业技术职务和高级专业技术职务分别减少了1052人、629人，同比下降65.5%，82.55%。</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C00000"/>
          <w:sz w:val="32"/>
          <w:szCs w:val="32"/>
          <w:highlight w:val="none"/>
          <w:lang w:val="en-US" w:eastAsia="zh-CN"/>
        </w:rPr>
        <w:sectPr>
          <w:pgSz w:w="11906" w:h="16838"/>
          <w:pgMar w:top="2098" w:right="1474" w:bottom="2041" w:left="1587" w:header="851" w:footer="992" w:gutter="0"/>
          <w:pgNumType w:fmt="decimal"/>
          <w:cols w:space="425" w:num="1"/>
          <w:docGrid w:type="lines" w:linePitch="312" w:charSpace="0"/>
        </w:sect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表12. 按技术等级分组的供求人数</w:t>
      </w:r>
    </w:p>
    <w:tbl>
      <w:tblPr>
        <w:tblStyle w:val="9"/>
        <w:tblW w:w="4998"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3045"/>
        <w:gridCol w:w="996"/>
        <w:gridCol w:w="996"/>
        <w:gridCol w:w="996"/>
        <w:gridCol w:w="1100"/>
        <w:gridCol w:w="901"/>
        <w:gridCol w:w="996"/>
        <w:gridCol w:w="1002"/>
        <w:gridCol w:w="1117"/>
        <w:gridCol w:w="884"/>
        <w:gridCol w:w="915"/>
        <w:gridCol w:w="112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vMerge w:val="restar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技术等级</w:t>
            </w:r>
          </w:p>
        </w:tc>
        <w:tc>
          <w:tcPr>
            <w:tcW w:w="3917" w:type="pct"/>
            <w:gridSpan w:val="11"/>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劳动力供求人数比较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254" w:hRule="atLeast"/>
          <w:tblCellSpacing w:w="0" w:type="dxa"/>
          <w:jc w:val="center"/>
        </w:trPr>
        <w:tc>
          <w:tcPr>
            <w:tcW w:w="1082" w:type="pct"/>
            <w:vMerge w:val="continue"/>
            <w:tcBorders>
              <w:top w:val="outset" w:color="auto" w:sz="6" w:space="0"/>
              <w:left w:val="outset" w:color="auto" w:sz="6" w:space="0"/>
              <w:bottom w:val="outset" w:color="auto" w:sz="6" w:space="0"/>
              <w:right w:val="outset" w:color="auto" w:sz="6" w:space="0"/>
            </w:tcBorders>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需求人数(人)</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需求比重(%)</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w:t>
            </w:r>
          </w:p>
        </w:tc>
        <w:tc>
          <w:tcPr>
            <w:tcW w:w="39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w:t>
            </w:r>
          </w:p>
        </w:tc>
        <w:tc>
          <w:tcPr>
            <w:tcW w:w="32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求职人数(人)</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求职比重(%)</w:t>
            </w:r>
          </w:p>
        </w:tc>
        <w:tc>
          <w:tcPr>
            <w:tcW w:w="35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w:t>
            </w:r>
          </w:p>
        </w:tc>
        <w:tc>
          <w:tcPr>
            <w:tcW w:w="39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与去年同期相比(%)</w:t>
            </w:r>
          </w:p>
        </w:tc>
        <w:tc>
          <w:tcPr>
            <w:tcW w:w="31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求人</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倍率</w:t>
            </w:r>
          </w:p>
        </w:tc>
        <w:tc>
          <w:tcPr>
            <w:tcW w:w="3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与上季度相比</w:t>
            </w:r>
          </w:p>
        </w:tc>
        <w:tc>
          <w:tcPr>
            <w:tcW w:w="39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与去年 同期相比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bookmarkStart w:id="19" w:name="OLE_LINK29" w:colFirst="9" w:colLast="9"/>
            <w:bookmarkStart w:id="20" w:name="OLE_LINK11" w:colFirst="6" w:colLast="6"/>
            <w:bookmarkStart w:id="21" w:name="OLE_LINK10" w:colFirst="5" w:colLast="5"/>
            <w:bookmarkStart w:id="22" w:name="OLE_LINK9" w:colFirst="1" w:colLast="1"/>
            <w:bookmarkStart w:id="23" w:name="OLE_LINK28" w:colFirst="5" w:colLast="5"/>
            <w:bookmarkStart w:id="24" w:name="OLE_LINK27" w:colFirst="1" w:colLast="1"/>
            <w:r>
              <w:rPr>
                <w:rFonts w:hint="eastAsia" w:ascii="Times New Roman" w:hAnsi="Times New Roman" w:eastAsia="仿宋_GB2312" w:cs="Times New Roman"/>
                <w:b/>
                <w:bCs/>
                <w:color w:val="auto"/>
                <w:kern w:val="2"/>
                <w:sz w:val="24"/>
                <w:szCs w:val="24"/>
                <w:highlight w:val="none"/>
                <w:lang w:val="en-US" w:eastAsia="zh-CN" w:bidi="ar-SA"/>
              </w:rPr>
              <w:t>职业资格五级(初级技能)</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649</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5.62</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41.39</w:t>
            </w:r>
          </w:p>
        </w:tc>
        <w:tc>
          <w:tcPr>
            <w:tcW w:w="39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-52.17</w:t>
            </w:r>
          </w:p>
        </w:tc>
        <w:tc>
          <w:tcPr>
            <w:tcW w:w="32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591</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8.17</w:t>
            </w:r>
          </w:p>
        </w:tc>
        <w:tc>
          <w:tcPr>
            <w:tcW w:w="35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154.74</w:t>
            </w:r>
          </w:p>
        </w:tc>
        <w:tc>
          <w:tcPr>
            <w:tcW w:w="39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-50.83</w:t>
            </w:r>
          </w:p>
        </w:tc>
        <w:tc>
          <w:tcPr>
            <w:tcW w:w="31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2.38</w:t>
            </w:r>
          </w:p>
        </w:tc>
        <w:tc>
          <w:tcPr>
            <w:tcW w:w="3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-0.72</w:t>
            </w:r>
          </w:p>
        </w:tc>
        <w:tc>
          <w:tcPr>
            <w:tcW w:w="39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0.68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职业资格四级(中级技能)</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174</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1.51</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-47.11</w:t>
            </w:r>
          </w:p>
        </w:tc>
        <w:tc>
          <w:tcPr>
            <w:tcW w:w="39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-66.34</w:t>
            </w:r>
          </w:p>
        </w:tc>
        <w:tc>
          <w:tcPr>
            <w:tcW w:w="32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115</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1.59</w:t>
            </w:r>
          </w:p>
        </w:tc>
        <w:tc>
          <w:tcPr>
            <w:tcW w:w="35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-21.77</w:t>
            </w:r>
          </w:p>
        </w:tc>
        <w:tc>
          <w:tcPr>
            <w:tcW w:w="39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-54.00</w:t>
            </w:r>
          </w:p>
        </w:tc>
        <w:tc>
          <w:tcPr>
            <w:tcW w:w="31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2.79</w:t>
            </w:r>
          </w:p>
        </w:tc>
        <w:tc>
          <w:tcPr>
            <w:tcW w:w="3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-0.58</w:t>
            </w:r>
          </w:p>
        </w:tc>
        <w:tc>
          <w:tcPr>
            <w:tcW w:w="39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0.15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职业资格三级(高级技能)</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13</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0.11</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39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-76.36</w:t>
            </w:r>
          </w:p>
        </w:tc>
        <w:tc>
          <w:tcPr>
            <w:tcW w:w="32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5</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0.07</w:t>
            </w:r>
          </w:p>
        </w:tc>
        <w:tc>
          <w:tcPr>
            <w:tcW w:w="35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-75.00</w:t>
            </w:r>
          </w:p>
        </w:tc>
        <w:tc>
          <w:tcPr>
            <w:tcW w:w="39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-85.29</w:t>
            </w:r>
          </w:p>
        </w:tc>
        <w:tc>
          <w:tcPr>
            <w:tcW w:w="31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3.90</w:t>
            </w:r>
          </w:p>
        </w:tc>
        <w:tc>
          <w:tcPr>
            <w:tcW w:w="3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2.78</w:t>
            </w:r>
          </w:p>
        </w:tc>
        <w:tc>
          <w:tcPr>
            <w:tcW w:w="39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1.71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职业资格二级(技师)</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0.03</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-76.47</w:t>
            </w:r>
          </w:p>
        </w:tc>
        <w:tc>
          <w:tcPr>
            <w:tcW w:w="39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-83.33</w:t>
            </w:r>
          </w:p>
        </w:tc>
        <w:tc>
          <w:tcPr>
            <w:tcW w:w="32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42</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0.58</w:t>
            </w:r>
          </w:p>
        </w:tc>
        <w:tc>
          <w:tcPr>
            <w:tcW w:w="35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13.51</w:t>
            </w:r>
          </w:p>
        </w:tc>
        <w:tc>
          <w:tcPr>
            <w:tcW w:w="39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-19.23</w:t>
            </w:r>
          </w:p>
        </w:tc>
        <w:tc>
          <w:tcPr>
            <w:tcW w:w="31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1.37</w:t>
            </w:r>
          </w:p>
        </w:tc>
        <w:tc>
          <w:tcPr>
            <w:tcW w:w="3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-0.23</w:t>
            </w:r>
          </w:p>
        </w:tc>
        <w:tc>
          <w:tcPr>
            <w:tcW w:w="39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0.34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职业资格一级(高级技师)</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75</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0.65</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31.58</w:t>
            </w:r>
          </w:p>
        </w:tc>
        <w:tc>
          <w:tcPr>
            <w:tcW w:w="39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525.00</w:t>
            </w:r>
          </w:p>
        </w:tc>
        <w:tc>
          <w:tcPr>
            <w:tcW w:w="32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0</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0.00</w:t>
            </w:r>
          </w:p>
        </w:tc>
        <w:tc>
          <w:tcPr>
            <w:tcW w:w="35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39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31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3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0</w:t>
            </w:r>
          </w:p>
        </w:tc>
        <w:tc>
          <w:tcPr>
            <w:tcW w:w="39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-2.09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初级专业技术职务</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817</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7.07</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3.68</w:t>
            </w:r>
          </w:p>
        </w:tc>
        <w:tc>
          <w:tcPr>
            <w:tcW w:w="39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-77.47</w:t>
            </w:r>
          </w:p>
        </w:tc>
        <w:tc>
          <w:tcPr>
            <w:tcW w:w="32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554</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7.66</w:t>
            </w:r>
          </w:p>
        </w:tc>
        <w:tc>
          <w:tcPr>
            <w:tcW w:w="35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146.22</w:t>
            </w:r>
          </w:p>
        </w:tc>
        <w:tc>
          <w:tcPr>
            <w:tcW w:w="39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-65.50</w:t>
            </w:r>
          </w:p>
        </w:tc>
        <w:tc>
          <w:tcPr>
            <w:tcW w:w="31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2.76</w:t>
            </w:r>
          </w:p>
        </w:tc>
        <w:tc>
          <w:tcPr>
            <w:tcW w:w="3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-1.86</w:t>
            </w:r>
          </w:p>
        </w:tc>
        <w:tc>
          <w:tcPr>
            <w:tcW w:w="39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-0.07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中级专业技术职务</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557</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4.82</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182.74</w:t>
            </w:r>
          </w:p>
        </w:tc>
        <w:tc>
          <w:tcPr>
            <w:tcW w:w="39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-71.73</w:t>
            </w:r>
          </w:p>
        </w:tc>
        <w:tc>
          <w:tcPr>
            <w:tcW w:w="32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133</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1.84</w:t>
            </w:r>
          </w:p>
        </w:tc>
        <w:tc>
          <w:tcPr>
            <w:tcW w:w="35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850.00</w:t>
            </w:r>
          </w:p>
        </w:tc>
        <w:tc>
          <w:tcPr>
            <w:tcW w:w="39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-82.55</w:t>
            </w:r>
          </w:p>
        </w:tc>
        <w:tc>
          <w:tcPr>
            <w:tcW w:w="31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5.47</w:t>
            </w:r>
          </w:p>
        </w:tc>
        <w:tc>
          <w:tcPr>
            <w:tcW w:w="3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-9.73</w:t>
            </w:r>
          </w:p>
        </w:tc>
        <w:tc>
          <w:tcPr>
            <w:tcW w:w="39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2.32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高级专业技术职务</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0</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0.00</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39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32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0</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0.00</w:t>
            </w:r>
          </w:p>
        </w:tc>
        <w:tc>
          <w:tcPr>
            <w:tcW w:w="35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39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31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3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-16.82</w:t>
            </w:r>
          </w:p>
        </w:tc>
        <w:tc>
          <w:tcPr>
            <w:tcW w:w="39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-2.56</w:t>
            </w:r>
          </w:p>
        </w:tc>
      </w:tr>
      <w:bookmarkEnd w:id="19"/>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无技术等级或职称</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39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32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5,795</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80.10</w:t>
            </w:r>
          </w:p>
        </w:tc>
        <w:tc>
          <w:tcPr>
            <w:tcW w:w="35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-47.41</w:t>
            </w:r>
          </w:p>
        </w:tc>
        <w:tc>
          <w:tcPr>
            <w:tcW w:w="39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59.77</w:t>
            </w:r>
          </w:p>
        </w:tc>
        <w:tc>
          <w:tcPr>
            <w:tcW w:w="31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1.28</w:t>
            </w:r>
          </w:p>
        </w:tc>
        <w:tc>
          <w:tcPr>
            <w:tcW w:w="3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0.16</w:t>
            </w:r>
          </w:p>
        </w:tc>
        <w:tc>
          <w:tcPr>
            <w:tcW w:w="39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0.71</w:t>
            </w:r>
          </w:p>
        </w:tc>
      </w:tr>
      <w:bookmarkEnd w:id="20"/>
      <w:bookmarkEnd w:id="21"/>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无要求</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9,261</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80.18</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-29.59</w:t>
            </w:r>
          </w:p>
        </w:tc>
        <w:tc>
          <w:tcPr>
            <w:tcW w:w="39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115.32</w:t>
            </w:r>
          </w:p>
        </w:tc>
        <w:tc>
          <w:tcPr>
            <w:tcW w:w="32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35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39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31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3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39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bookmarkEnd w:id="22"/>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454" w:hRule="atLeast"/>
          <w:tblCellSpacing w:w="0" w:type="dxa"/>
          <w:jc w:val="center"/>
        </w:trPr>
        <w:tc>
          <w:tcPr>
            <w:tcW w:w="1082"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imes New Roman" w:hAnsi="Times New Roman" w:eastAsia="仿宋_GB2312" w:cs="Times New Roman"/>
                <w:b/>
                <w:bCs/>
                <w:color w:val="auto"/>
                <w:kern w:val="2"/>
                <w:sz w:val="24"/>
                <w:szCs w:val="24"/>
                <w:highlight w:val="none"/>
                <w:lang w:val="en-US" w:eastAsia="zh-CN" w:bidi="ar-SA"/>
              </w:rPr>
            </w:pPr>
            <w:r>
              <w:rPr>
                <w:rFonts w:hint="eastAsia" w:ascii="Times New Roman" w:hAnsi="Times New Roman" w:eastAsia="仿宋_GB2312" w:cs="Times New Roman"/>
                <w:b/>
                <w:bCs/>
                <w:color w:val="auto"/>
                <w:kern w:val="2"/>
                <w:sz w:val="24"/>
                <w:szCs w:val="24"/>
                <w:highlight w:val="none"/>
                <w:lang w:val="en-US" w:eastAsia="zh-CN" w:bidi="ar-SA"/>
              </w:rPr>
              <w:t>合计</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11,550</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100</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-23.16</w:t>
            </w:r>
          </w:p>
        </w:tc>
        <w:tc>
          <w:tcPr>
            <w:tcW w:w="391"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-3.06</w:t>
            </w:r>
          </w:p>
        </w:tc>
        <w:tc>
          <w:tcPr>
            <w:tcW w:w="32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7,235</w:t>
            </w:r>
          </w:p>
        </w:tc>
        <w:tc>
          <w:tcPr>
            <w:tcW w:w="35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100</w:t>
            </w:r>
          </w:p>
        </w:tc>
        <w:tc>
          <w:tcPr>
            <w:tcW w:w="356"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-38.15</w:t>
            </w:r>
          </w:p>
        </w:tc>
        <w:tc>
          <w:tcPr>
            <w:tcW w:w="397"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-4.39</w:t>
            </w:r>
          </w:p>
        </w:tc>
        <w:tc>
          <w:tcPr>
            <w:tcW w:w="314"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w:t>
            </w:r>
          </w:p>
        </w:tc>
        <w:tc>
          <w:tcPr>
            <w:tcW w:w="325"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c>
          <w:tcPr>
            <w:tcW w:w="393"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w:t>
            </w:r>
          </w:p>
        </w:tc>
      </w:tr>
      <w:bookmarkEnd w:id="23"/>
      <w:bookmarkEnd w:id="24"/>
    </w:tbl>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200" w:leftChars="-500" w:firstLine="560" w:firstLineChars="200"/>
        <w:textAlignment w:val="auto"/>
        <w:rPr>
          <w:rFonts w:hint="eastAsia"/>
          <w:color w:val="C00000"/>
          <w:sz w:val="28"/>
          <w:szCs w:val="28"/>
          <w:highlight w:val="none"/>
          <w:lang w:val="en-US" w:eastAsia="zh-CN"/>
        </w:rPr>
        <w:sectPr>
          <w:pgSz w:w="16838" w:h="11906" w:orient="landscape"/>
          <w:pgMar w:top="1800" w:right="1383" w:bottom="1800" w:left="1440" w:header="851" w:footer="992" w:gutter="0"/>
          <w:pgNumType w:fmt="decimal"/>
          <w:cols w:space="425" w:num="1"/>
          <w:docGrid w:type="lines" w:linePitch="312" w:charSpace="0"/>
        </w:sectPr>
      </w:pPr>
      <w:r>
        <w:rPr>
          <w:rFonts w:hint="eastAsia"/>
          <w:color w:val="C00000"/>
          <w:sz w:val="28"/>
          <w:szCs w:val="28"/>
          <w:highlight w:val="none"/>
          <w:lang w:val="en-US" w:eastAsia="zh-CN"/>
        </w:rPr>
        <w:drawing>
          <wp:anchor distT="0" distB="0" distL="114300" distR="114300" simplePos="0" relativeHeight="251663360" behindDoc="1" locked="0" layoutInCell="1" allowOverlap="1">
            <wp:simplePos x="0" y="0"/>
            <wp:positionH relativeFrom="column">
              <wp:posOffset>-41275</wp:posOffset>
            </wp:positionH>
            <wp:positionV relativeFrom="paragraph">
              <wp:posOffset>-16510</wp:posOffset>
            </wp:positionV>
            <wp:extent cx="8945880" cy="5274945"/>
            <wp:effectExtent l="4445" t="4445" r="22225" b="16510"/>
            <wp:wrapTight wrapText="bothSides">
              <wp:wrapPolygon>
                <wp:start x="-11" y="-18"/>
                <wp:lineTo x="-11" y="21512"/>
                <wp:lineTo x="21562" y="21512"/>
                <wp:lineTo x="21562" y="-18"/>
                <wp:lineTo x="-11" y="-18"/>
              </wp:wrapPolygon>
            </wp:wrapTight>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color w:val="C00000"/>
          <w:sz w:val="28"/>
          <w:szCs w:val="28"/>
          <w:highlight w:val="none"/>
          <w:lang w:val="en-US" w:eastAsia="zh-CN"/>
        </w:rPr>
        <w:t xml:space="preserve">   </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八、分析总结、存在问题及下一步工作措施</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（一）分析总结。</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一是我盟人力资源市场2024年第三季度统计用人单位需求人数略大于求职人数，求人倍率1.60，市场供求总体保持平稳。</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是企业仍是就业岗位来源的主要渠道，从产业结构需求角度看以服务业为代表的第三产业和以制造业为代表的第二产业在吸纳就业中占主导，特别是第三产业最为明显。从行业需求看，居民服务和其他服务业，住宿和餐饮业，批发和零售业仍是我盟主要的用工需求种类。</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C00000"/>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是从用人单位经济类型看，企业用人需求仍占主体地位，所占比重达98.73%，以企业需求为主的总体格局基本保持不变；从各类职业的需求状况看，办事人员和有关人员、社会生产服务和生活服务人员、生产制造及有关人员是第三季度用人需求的主体，合计占全部用人需求的70.70%，从求职情况看，求职人员相对集中的职业和用人需求之间基本保持一致，办事人员和有关人员、社会生产服务和生活服务人员、生产制造及有关人员所占求职人员的65.39%。</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C00000"/>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四是我盟失业人员占本季度求职人数比重较大，占比达52.77%；求职者年龄在25-34岁、35-44岁和45岁以上的偏多，占比分别为27.56%，32.38%和31.72%；男性求职者较多，占比56.88%；求职者中初中及以下，高中，大专，本科文化程度占比较均匀，拥有硕士以上文凭的求职者比重仅为0.11%。</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（二）存在问题。</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我盟企业用人需求仍占主体地位，且中小企业是用人主力军，高校毕业生等青年群体就业预期值偏高，高校毕业生作为就业重点群体之一，在面临就业压力时他们更倾向于考虑选择体制内工作，宁愿考研、考公务员和事业编“缓就业”也不愿意到第二、第三产业企业提供的岗位就业；</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目前我盟住宿和餐饮业、批发和零售业、制造业、居民服务和其他服务业等岗位持续需求量较大，而我盟求职人员更倾向于教师、办事人员等岗位，就导致了用人单位“招人难”，求职人员“找工作难”的现象。</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3.锡盟地区国企央企无自主招聘权限，均为上级部门统一招聘或进行校园招聘，本地高校毕业生等重点群体获取相关招聘信息渠道不畅。</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4.锡盟地区目前多数企业所需要的是具备专业技能和实践经验的人才，但市场上供应的人才往往缺乏相应经验或不具备专业技能，形成了供需不匹配的现象。</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（三）下一步工作措施。</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我盟将持续推动职业技能培训与市场需求匹配，有针对性的开展“订单、定岗、定向”培训，稳步扩大培训规模，不断丰富培训内容，提高培训质量，重点加强农村牧区转移劳动者、脱贫人口、城镇失业人员、就业困难人员等群体技能培训，提升劳动者的就业能力，拓宽劳动者的就业渠道，化解劳动力市场结构性矛盾。</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完善重点群体就业支持政策，坚持把高校毕业生等青年群体就业作为重中之重，持续实施精准就业服务，聚焦就业困难高校毕业生，健全“1131”帮扶机制，实施“一人一策”，广泛开发就业见习岗位，引导高校毕业生参加就业见习，提升就业能力，开发政策性岗位安置高校毕业生，加强对困难毕业生的兜底帮扶，面向中小微企业和非公有企业征集开发适合高校毕业生就业岗位，储备经济社会发展人才。</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3.继续加强与重点企业的联系，获取招聘信息，在就业部门官方平台发布相关招聘信息，拓宽高校毕业生等重点群体的信息来源渠道。</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4.</w:t>
      </w:r>
      <w:r>
        <w:rPr>
          <w:rFonts w:hint="eastAsia" w:ascii="仿宋_GB2312" w:hAnsi="仿宋_GB2312" w:eastAsia="仿宋_GB2312" w:cs="仿宋_GB2312"/>
          <w:color w:val="auto"/>
          <w:sz w:val="32"/>
          <w:szCs w:val="32"/>
          <w:highlight w:val="none"/>
          <w:lang w:val="en-US" w:eastAsia="zh-CN"/>
        </w:rPr>
        <w:t>锡林郭勒盟就业服务中心与北京市丰台区和昌平区人社局搭建了区域间家政劳务协作平台，将北京人社局提供的岗位信息通过锡盟就业官方平台进行发布，促进内蒙古农村牧区劳动力特别是脱贫劳动力在京就业，破解企业用工和劳动者就业两难问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5.我盟13个旗县市（区）全部建成了公共部门运营的</w:t>
      </w:r>
      <w:r>
        <w:rPr>
          <w:rFonts w:hint="eastAsia" w:ascii="仿宋_GB2312" w:hAnsi="仿宋_GB2312" w:eastAsia="仿宋_GB2312" w:cs="仿宋_GB2312"/>
          <w:color w:val="auto"/>
          <w:kern w:val="2"/>
          <w:sz w:val="32"/>
          <w:szCs w:val="32"/>
          <w:highlight w:val="none"/>
          <w:lang w:val="en-US" w:eastAsia="zh-CN" w:bidi="ar-SA"/>
        </w:rPr>
        <w:t>“零工市场”，</w:t>
      </w:r>
      <w:r>
        <w:rPr>
          <w:rFonts w:hint="eastAsia" w:ascii="仿宋_GB2312" w:hAnsi="仿宋_GB2312" w:eastAsia="仿宋_GB2312" w:cs="仿宋_GB2312"/>
          <w:color w:val="auto"/>
          <w:sz w:val="32"/>
          <w:szCs w:val="32"/>
          <w:highlight w:val="none"/>
          <w:lang w:val="en-US" w:eastAsia="zh-CN"/>
        </w:rPr>
        <w:t>免费为各类用工主体和各类务工人员提供线上线下用工登记、求职登记、职业指导、对接服务、培训与咨询等服务。下一步各地零工市场要进一步明确当地零工工资指导价位，促使用工透明化、规范化，继续提升服务水平，全力打造高效便捷的零工服务平台，</w:t>
      </w:r>
      <w:r>
        <w:rPr>
          <w:rFonts w:hint="eastAsia" w:ascii="仿宋_GB2312" w:hAnsi="仿宋_GB2312" w:eastAsia="仿宋_GB2312" w:cs="仿宋_GB2312"/>
          <w:color w:val="auto"/>
          <w:kern w:val="2"/>
          <w:sz w:val="32"/>
          <w:szCs w:val="32"/>
          <w:highlight w:val="none"/>
          <w:lang w:val="en-US" w:eastAsia="zh-CN" w:bidi="ar-SA"/>
        </w:rPr>
        <w:t>促进零工人员就业增收</w:t>
      </w:r>
      <w:r>
        <w:rPr>
          <w:rFonts w:hint="eastAsia" w:ascii="仿宋_GB2312" w:hAnsi="仿宋_GB2312" w:eastAsia="仿宋_GB2312" w:cs="仿宋_GB2312"/>
          <w:color w:val="auto"/>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6.不断创新完善常态化直播带岗的内容、环节及技术相关方面的应用，提供岗位介绍、政策解读、就业创业指导等服务，打造一个服务效果好、群众满意度高的就业公共服务直播品牌，提升就业公共服务质量。</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baseline"/>
        <w:rPr>
          <w:rFonts w:hint="eastAsia" w:ascii="仿宋_GB2312" w:hAnsi="仿宋_GB2312" w:eastAsia="仿宋_GB2312" w:cs="仿宋_GB2312"/>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baseline"/>
        <w:rPr>
          <w:rFonts w:hint="eastAsia" w:ascii="仿宋_GB2312" w:hAnsi="仿宋_GB2312" w:eastAsia="仿宋_GB2312" w:cs="仿宋_GB2312"/>
          <w:color w:val="auto"/>
          <w:sz w:val="32"/>
          <w:szCs w:val="32"/>
          <w:highlight w:val="none"/>
          <w:lang w:val="en-US" w:eastAsia="zh-CN"/>
        </w:rPr>
      </w:pPr>
    </w:p>
    <w:p>
      <w:pPr>
        <w:pStyle w:val="8"/>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560" w:lineRule="exact"/>
        <w:ind w:firstLine="480" w:firstLineChars="200"/>
        <w:jc w:val="right"/>
        <w:textAlignment w:val="auto"/>
        <w:rPr>
          <w:color w:val="C00000"/>
          <w:highlight w:val="none"/>
        </w:rPr>
      </w:pPr>
      <w:bookmarkStart w:id="25" w:name="_GoBack"/>
      <w:bookmarkEnd w:id="25"/>
    </w:p>
    <w:sectPr>
      <w:pgSz w:w="11906" w:h="16838"/>
      <w:pgMar w:top="2098" w:right="1474" w:bottom="204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enk Qagan Tig">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sz w:val="21"/>
                              <w:szCs w:val="21"/>
                              <w:lang w:val="en-US" w:eastAsia="zh-CN"/>
                            </w:rPr>
                          </w:pPr>
                          <w:r>
                            <w:rPr>
                              <w:rFonts w:hint="eastAsia"/>
                              <w:sz w:val="21"/>
                              <w:szCs w:val="21"/>
                              <w:lang w:eastAsia="zh-CN"/>
                            </w:rPr>
                            <w:t>—</w:t>
                          </w:r>
                          <w:r>
                            <w:rPr>
                              <w:rFonts w:hint="eastAsia"/>
                              <w:sz w:val="21"/>
                              <w:szCs w:val="21"/>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1"/>
                              <w:szCs w:val="21"/>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x5e1zj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6"/>
                      <w:rPr>
                        <w:rFonts w:hint="eastAsia" w:eastAsia="宋体"/>
                        <w:sz w:val="21"/>
                        <w:szCs w:val="21"/>
                        <w:lang w:val="en-US" w:eastAsia="zh-CN"/>
                      </w:rPr>
                    </w:pPr>
                    <w:r>
                      <w:rPr>
                        <w:rFonts w:hint="eastAsia"/>
                        <w:sz w:val="21"/>
                        <w:szCs w:val="21"/>
                        <w:lang w:eastAsia="zh-CN"/>
                      </w:rPr>
                      <w:t>—</w:t>
                    </w:r>
                    <w:r>
                      <w:rPr>
                        <w:rFonts w:hint="eastAsia"/>
                        <w:sz w:val="21"/>
                        <w:szCs w:val="21"/>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1"/>
                        <w:szCs w:val="21"/>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iMmE2NzAwZDE5ODI5MTVlZTczMTkyYmU5NDZhNGMifQ=="/>
  </w:docVars>
  <w:rsids>
    <w:rsidRoot w:val="00000000"/>
    <w:rsid w:val="01786D21"/>
    <w:rsid w:val="02023712"/>
    <w:rsid w:val="029244E7"/>
    <w:rsid w:val="02BEAFAE"/>
    <w:rsid w:val="02F90D26"/>
    <w:rsid w:val="03950CEB"/>
    <w:rsid w:val="03D830B7"/>
    <w:rsid w:val="03E87ED9"/>
    <w:rsid w:val="03F6868C"/>
    <w:rsid w:val="03FF0AF6"/>
    <w:rsid w:val="064A20F9"/>
    <w:rsid w:val="06E60AFD"/>
    <w:rsid w:val="07852E9F"/>
    <w:rsid w:val="091D7025"/>
    <w:rsid w:val="0AD80D5D"/>
    <w:rsid w:val="0BEEB4DB"/>
    <w:rsid w:val="0BF24D73"/>
    <w:rsid w:val="0C0D424F"/>
    <w:rsid w:val="0CBF5AE0"/>
    <w:rsid w:val="0D0A7F12"/>
    <w:rsid w:val="0F0E4A6B"/>
    <w:rsid w:val="0F7F26FB"/>
    <w:rsid w:val="0F941BF3"/>
    <w:rsid w:val="0F9D0A29"/>
    <w:rsid w:val="0FFFBF2E"/>
    <w:rsid w:val="10772163"/>
    <w:rsid w:val="108B0A9D"/>
    <w:rsid w:val="118E2FDF"/>
    <w:rsid w:val="11A51273"/>
    <w:rsid w:val="11DE2A6E"/>
    <w:rsid w:val="12AC38F3"/>
    <w:rsid w:val="133F9C77"/>
    <w:rsid w:val="135F6148"/>
    <w:rsid w:val="13AF4621"/>
    <w:rsid w:val="144910C6"/>
    <w:rsid w:val="147D6C97"/>
    <w:rsid w:val="1484668F"/>
    <w:rsid w:val="14BE02FD"/>
    <w:rsid w:val="14DCC8E6"/>
    <w:rsid w:val="151744A1"/>
    <w:rsid w:val="156BB16A"/>
    <w:rsid w:val="16BFD029"/>
    <w:rsid w:val="176F1054"/>
    <w:rsid w:val="17A61451"/>
    <w:rsid w:val="17D8FD25"/>
    <w:rsid w:val="17FF9D18"/>
    <w:rsid w:val="17FFD5DF"/>
    <w:rsid w:val="18047D2E"/>
    <w:rsid w:val="198943B9"/>
    <w:rsid w:val="19898200"/>
    <w:rsid w:val="19A32E6F"/>
    <w:rsid w:val="1AAFB6A0"/>
    <w:rsid w:val="1AF0E69D"/>
    <w:rsid w:val="1B777030"/>
    <w:rsid w:val="1BC65FB1"/>
    <w:rsid w:val="1BED86CD"/>
    <w:rsid w:val="1BFA5F24"/>
    <w:rsid w:val="1C5A2FE5"/>
    <w:rsid w:val="1D7591D7"/>
    <w:rsid w:val="1DFF1017"/>
    <w:rsid w:val="1DFFDD1F"/>
    <w:rsid w:val="1E341ACC"/>
    <w:rsid w:val="1E7F7E18"/>
    <w:rsid w:val="1EDF76C8"/>
    <w:rsid w:val="1EFF140F"/>
    <w:rsid w:val="1F7D78E1"/>
    <w:rsid w:val="1FAB2D67"/>
    <w:rsid w:val="1FB7ACA9"/>
    <w:rsid w:val="1FBD443F"/>
    <w:rsid w:val="1FCFB44B"/>
    <w:rsid w:val="1FD31441"/>
    <w:rsid w:val="1FDD1958"/>
    <w:rsid w:val="1FEF3001"/>
    <w:rsid w:val="1FF43405"/>
    <w:rsid w:val="1FFB2FA4"/>
    <w:rsid w:val="1FFFCAB0"/>
    <w:rsid w:val="207C996A"/>
    <w:rsid w:val="2137E471"/>
    <w:rsid w:val="21B1B628"/>
    <w:rsid w:val="21BF65BC"/>
    <w:rsid w:val="21FF2C96"/>
    <w:rsid w:val="21FF5DCE"/>
    <w:rsid w:val="220E736E"/>
    <w:rsid w:val="227F7854"/>
    <w:rsid w:val="23420DEC"/>
    <w:rsid w:val="23ED2AA4"/>
    <w:rsid w:val="23FE7AC8"/>
    <w:rsid w:val="247A9147"/>
    <w:rsid w:val="2536529E"/>
    <w:rsid w:val="25833998"/>
    <w:rsid w:val="25A97F22"/>
    <w:rsid w:val="25BE4F18"/>
    <w:rsid w:val="26150DA4"/>
    <w:rsid w:val="26BF3DC2"/>
    <w:rsid w:val="2767C6E7"/>
    <w:rsid w:val="27C98FAA"/>
    <w:rsid w:val="27CDDD06"/>
    <w:rsid w:val="27D9CD06"/>
    <w:rsid w:val="27DF65C1"/>
    <w:rsid w:val="27E75710"/>
    <w:rsid w:val="27FB6703"/>
    <w:rsid w:val="280776A2"/>
    <w:rsid w:val="283471D2"/>
    <w:rsid w:val="289F84E5"/>
    <w:rsid w:val="28EA16F9"/>
    <w:rsid w:val="28F543AE"/>
    <w:rsid w:val="297FD732"/>
    <w:rsid w:val="29EF9086"/>
    <w:rsid w:val="2AFF6917"/>
    <w:rsid w:val="2B108ACB"/>
    <w:rsid w:val="2B674404"/>
    <w:rsid w:val="2B9393BD"/>
    <w:rsid w:val="2BA9407C"/>
    <w:rsid w:val="2BBDBDF3"/>
    <w:rsid w:val="2BDF184B"/>
    <w:rsid w:val="2BDF6639"/>
    <w:rsid w:val="2BFBEB91"/>
    <w:rsid w:val="2BFE30FD"/>
    <w:rsid w:val="2BFFDD52"/>
    <w:rsid w:val="2CEB2939"/>
    <w:rsid w:val="2D3D711C"/>
    <w:rsid w:val="2D5EAA75"/>
    <w:rsid w:val="2DEA4B8C"/>
    <w:rsid w:val="2DF91D1E"/>
    <w:rsid w:val="2DFED86F"/>
    <w:rsid w:val="2DFEE3E0"/>
    <w:rsid w:val="2DFF2940"/>
    <w:rsid w:val="2DFF4D09"/>
    <w:rsid w:val="2E7F3346"/>
    <w:rsid w:val="2ED5E09D"/>
    <w:rsid w:val="2ED76515"/>
    <w:rsid w:val="2EDF8003"/>
    <w:rsid w:val="2EFFE395"/>
    <w:rsid w:val="2F5EEF83"/>
    <w:rsid w:val="2F62F3BF"/>
    <w:rsid w:val="2F7A4091"/>
    <w:rsid w:val="2F7A9D82"/>
    <w:rsid w:val="2F7FB0D0"/>
    <w:rsid w:val="2F7FDD34"/>
    <w:rsid w:val="2F8DE38C"/>
    <w:rsid w:val="2FB5E646"/>
    <w:rsid w:val="2FBD4B65"/>
    <w:rsid w:val="2FBF626D"/>
    <w:rsid w:val="2FBFE846"/>
    <w:rsid w:val="2FEBEBD5"/>
    <w:rsid w:val="2FFB1837"/>
    <w:rsid w:val="2FFF848C"/>
    <w:rsid w:val="307F2F66"/>
    <w:rsid w:val="333FD77E"/>
    <w:rsid w:val="33A749B4"/>
    <w:rsid w:val="33AEF35B"/>
    <w:rsid w:val="33D840FB"/>
    <w:rsid w:val="33DFBAA3"/>
    <w:rsid w:val="33FE8FAD"/>
    <w:rsid w:val="33FF5DBB"/>
    <w:rsid w:val="34BA96BB"/>
    <w:rsid w:val="352B8572"/>
    <w:rsid w:val="3578C8AF"/>
    <w:rsid w:val="357F753F"/>
    <w:rsid w:val="357FB598"/>
    <w:rsid w:val="3597557A"/>
    <w:rsid w:val="35A766EE"/>
    <w:rsid w:val="363B825E"/>
    <w:rsid w:val="367F66D0"/>
    <w:rsid w:val="36BD569A"/>
    <w:rsid w:val="36D4FA1E"/>
    <w:rsid w:val="36D788FC"/>
    <w:rsid w:val="36F70C69"/>
    <w:rsid w:val="36F7CB60"/>
    <w:rsid w:val="374846E6"/>
    <w:rsid w:val="375DCB62"/>
    <w:rsid w:val="3767A2E1"/>
    <w:rsid w:val="376D8200"/>
    <w:rsid w:val="376D8C71"/>
    <w:rsid w:val="37701C0B"/>
    <w:rsid w:val="377B9744"/>
    <w:rsid w:val="377C474C"/>
    <w:rsid w:val="377E142D"/>
    <w:rsid w:val="37AEF5B8"/>
    <w:rsid w:val="37DBEADC"/>
    <w:rsid w:val="37DD0153"/>
    <w:rsid w:val="37DEDB67"/>
    <w:rsid w:val="37DFF585"/>
    <w:rsid w:val="37E3481A"/>
    <w:rsid w:val="37E3EBB0"/>
    <w:rsid w:val="37E7ABCD"/>
    <w:rsid w:val="37EFEF69"/>
    <w:rsid w:val="37F845CA"/>
    <w:rsid w:val="37FD47D7"/>
    <w:rsid w:val="37FFC4FA"/>
    <w:rsid w:val="382D5401"/>
    <w:rsid w:val="385FC2EB"/>
    <w:rsid w:val="38E30B05"/>
    <w:rsid w:val="38F78056"/>
    <w:rsid w:val="3968368D"/>
    <w:rsid w:val="397D0039"/>
    <w:rsid w:val="39DF9B6C"/>
    <w:rsid w:val="39FB655B"/>
    <w:rsid w:val="39FFD655"/>
    <w:rsid w:val="3A0B4AF4"/>
    <w:rsid w:val="3A561988"/>
    <w:rsid w:val="3A847A19"/>
    <w:rsid w:val="3AAD0BD5"/>
    <w:rsid w:val="3ABED55B"/>
    <w:rsid w:val="3ABF932D"/>
    <w:rsid w:val="3AFCCC8F"/>
    <w:rsid w:val="3AFF0233"/>
    <w:rsid w:val="3B33806D"/>
    <w:rsid w:val="3B4F5D7E"/>
    <w:rsid w:val="3B5748BD"/>
    <w:rsid w:val="3B6D6F1B"/>
    <w:rsid w:val="3B7E98C7"/>
    <w:rsid w:val="3B7F6525"/>
    <w:rsid w:val="3BAD0950"/>
    <w:rsid w:val="3BBF5553"/>
    <w:rsid w:val="3BBFDD6F"/>
    <w:rsid w:val="3BDB08A9"/>
    <w:rsid w:val="3BDCDF40"/>
    <w:rsid w:val="3BE4B945"/>
    <w:rsid w:val="3BEE8568"/>
    <w:rsid w:val="3BF2BEF7"/>
    <w:rsid w:val="3BFC1FDC"/>
    <w:rsid w:val="3C39193B"/>
    <w:rsid w:val="3C539AA6"/>
    <w:rsid w:val="3C9796C2"/>
    <w:rsid w:val="3CD2013A"/>
    <w:rsid w:val="3CDB8D78"/>
    <w:rsid w:val="3CF3FF44"/>
    <w:rsid w:val="3CFD4504"/>
    <w:rsid w:val="3CFF05A1"/>
    <w:rsid w:val="3D597D51"/>
    <w:rsid w:val="3D5D7840"/>
    <w:rsid w:val="3D632A8A"/>
    <w:rsid w:val="3D692724"/>
    <w:rsid w:val="3D978667"/>
    <w:rsid w:val="3D984C94"/>
    <w:rsid w:val="3DB00C79"/>
    <w:rsid w:val="3DBACE9F"/>
    <w:rsid w:val="3DBF510F"/>
    <w:rsid w:val="3DC5F414"/>
    <w:rsid w:val="3DCCC8C6"/>
    <w:rsid w:val="3DD7C233"/>
    <w:rsid w:val="3DD7C272"/>
    <w:rsid w:val="3DD9E156"/>
    <w:rsid w:val="3DDFAB8A"/>
    <w:rsid w:val="3DE541D6"/>
    <w:rsid w:val="3DE76293"/>
    <w:rsid w:val="3DF55696"/>
    <w:rsid w:val="3DF9D206"/>
    <w:rsid w:val="3DFB7A11"/>
    <w:rsid w:val="3DFE806E"/>
    <w:rsid w:val="3E1FBC67"/>
    <w:rsid w:val="3E2F986A"/>
    <w:rsid w:val="3E7FECEF"/>
    <w:rsid w:val="3E894E20"/>
    <w:rsid w:val="3E934E39"/>
    <w:rsid w:val="3EAF0446"/>
    <w:rsid w:val="3EDE17E6"/>
    <w:rsid w:val="3EDF56C1"/>
    <w:rsid w:val="3EDFF0AF"/>
    <w:rsid w:val="3EEA354A"/>
    <w:rsid w:val="3EEF652D"/>
    <w:rsid w:val="3EF7960E"/>
    <w:rsid w:val="3EF91315"/>
    <w:rsid w:val="3EFAAE70"/>
    <w:rsid w:val="3EFAE533"/>
    <w:rsid w:val="3EFDD5B2"/>
    <w:rsid w:val="3EFE033F"/>
    <w:rsid w:val="3EFE3E07"/>
    <w:rsid w:val="3EFF644D"/>
    <w:rsid w:val="3EFF9330"/>
    <w:rsid w:val="3F1EE8F8"/>
    <w:rsid w:val="3F1FFFD9"/>
    <w:rsid w:val="3F458B64"/>
    <w:rsid w:val="3F77BFC7"/>
    <w:rsid w:val="3F7D3462"/>
    <w:rsid w:val="3F7D86C0"/>
    <w:rsid w:val="3F7E90BF"/>
    <w:rsid w:val="3F98FA67"/>
    <w:rsid w:val="3F9BE5CD"/>
    <w:rsid w:val="3F9BFE6E"/>
    <w:rsid w:val="3F9FFAA2"/>
    <w:rsid w:val="3FA6C064"/>
    <w:rsid w:val="3FAC2967"/>
    <w:rsid w:val="3FAF0CCF"/>
    <w:rsid w:val="3FAF42CF"/>
    <w:rsid w:val="3FB7902A"/>
    <w:rsid w:val="3FBAADD9"/>
    <w:rsid w:val="3FBF51DA"/>
    <w:rsid w:val="3FBFB972"/>
    <w:rsid w:val="3FCDCF89"/>
    <w:rsid w:val="3FCEFA7F"/>
    <w:rsid w:val="3FD55BBA"/>
    <w:rsid w:val="3FD77333"/>
    <w:rsid w:val="3FDB6BA2"/>
    <w:rsid w:val="3FDDEE15"/>
    <w:rsid w:val="3FDF380B"/>
    <w:rsid w:val="3FE9491B"/>
    <w:rsid w:val="3FEE5E21"/>
    <w:rsid w:val="3FEED6F8"/>
    <w:rsid w:val="3FEF4A1E"/>
    <w:rsid w:val="3FEF9A3F"/>
    <w:rsid w:val="3FEFE7BE"/>
    <w:rsid w:val="3FF10F17"/>
    <w:rsid w:val="3FF796E3"/>
    <w:rsid w:val="3FF7BE3C"/>
    <w:rsid w:val="3FFB32CA"/>
    <w:rsid w:val="3FFC2A89"/>
    <w:rsid w:val="3FFC9A81"/>
    <w:rsid w:val="3FFCC64F"/>
    <w:rsid w:val="3FFD4E48"/>
    <w:rsid w:val="3FFDCD4A"/>
    <w:rsid w:val="3FFF1EE6"/>
    <w:rsid w:val="3FFF20E9"/>
    <w:rsid w:val="3FFF5DE1"/>
    <w:rsid w:val="3FFF986E"/>
    <w:rsid w:val="3FFFA88B"/>
    <w:rsid w:val="3FFFDD23"/>
    <w:rsid w:val="3FFFF834"/>
    <w:rsid w:val="409965D9"/>
    <w:rsid w:val="41BFB041"/>
    <w:rsid w:val="41EA21C1"/>
    <w:rsid w:val="42EB26BD"/>
    <w:rsid w:val="430D296A"/>
    <w:rsid w:val="434937D5"/>
    <w:rsid w:val="43DB904A"/>
    <w:rsid w:val="43F65C10"/>
    <w:rsid w:val="43FB130C"/>
    <w:rsid w:val="444A66E7"/>
    <w:rsid w:val="448D14BE"/>
    <w:rsid w:val="44B6296D"/>
    <w:rsid w:val="457E8FFF"/>
    <w:rsid w:val="45DBFF4A"/>
    <w:rsid w:val="46054DFB"/>
    <w:rsid w:val="46797C10"/>
    <w:rsid w:val="46E6F588"/>
    <w:rsid w:val="4713FB51"/>
    <w:rsid w:val="475C9B02"/>
    <w:rsid w:val="477AD6C6"/>
    <w:rsid w:val="477E5107"/>
    <w:rsid w:val="485B0E7B"/>
    <w:rsid w:val="4890786F"/>
    <w:rsid w:val="48F3115A"/>
    <w:rsid w:val="49A735B5"/>
    <w:rsid w:val="49DD1BED"/>
    <w:rsid w:val="49FF7642"/>
    <w:rsid w:val="49FF7A06"/>
    <w:rsid w:val="4AD3CB5D"/>
    <w:rsid w:val="4AFF3B03"/>
    <w:rsid w:val="4BB7ABF0"/>
    <w:rsid w:val="4BE271E4"/>
    <w:rsid w:val="4BEF11E5"/>
    <w:rsid w:val="4BEFD907"/>
    <w:rsid w:val="4C9776FA"/>
    <w:rsid w:val="4CEFA33B"/>
    <w:rsid w:val="4CFC9836"/>
    <w:rsid w:val="4D2F2768"/>
    <w:rsid w:val="4D77837C"/>
    <w:rsid w:val="4DA6E3C3"/>
    <w:rsid w:val="4DB12E6B"/>
    <w:rsid w:val="4E14AD9F"/>
    <w:rsid w:val="4E357A98"/>
    <w:rsid w:val="4E6F9C56"/>
    <w:rsid w:val="4EBFC92A"/>
    <w:rsid w:val="4EF7CE28"/>
    <w:rsid w:val="4EFF83EF"/>
    <w:rsid w:val="4F7F9C0D"/>
    <w:rsid w:val="4F8F7991"/>
    <w:rsid w:val="4FBD40E3"/>
    <w:rsid w:val="4FBF08BA"/>
    <w:rsid w:val="4FBF4208"/>
    <w:rsid w:val="4FCB90EF"/>
    <w:rsid w:val="4FCF945A"/>
    <w:rsid w:val="4FDDB920"/>
    <w:rsid w:val="4FEEB7F1"/>
    <w:rsid w:val="4FFB95FA"/>
    <w:rsid w:val="4FFD1F12"/>
    <w:rsid w:val="4FFE5956"/>
    <w:rsid w:val="4FFF05B3"/>
    <w:rsid w:val="4FFF76B5"/>
    <w:rsid w:val="50A54F03"/>
    <w:rsid w:val="50FF3A61"/>
    <w:rsid w:val="51121B8D"/>
    <w:rsid w:val="52D9DBA5"/>
    <w:rsid w:val="52FE885F"/>
    <w:rsid w:val="531D3806"/>
    <w:rsid w:val="5396D188"/>
    <w:rsid w:val="539B0561"/>
    <w:rsid w:val="547B0304"/>
    <w:rsid w:val="54BF14AE"/>
    <w:rsid w:val="54FD157F"/>
    <w:rsid w:val="5597FC01"/>
    <w:rsid w:val="55DBBB0D"/>
    <w:rsid w:val="55F6AACD"/>
    <w:rsid w:val="56BFE0D3"/>
    <w:rsid w:val="56DD60D5"/>
    <w:rsid w:val="56DF7B81"/>
    <w:rsid w:val="56E63C48"/>
    <w:rsid w:val="56EFEB4E"/>
    <w:rsid w:val="56FD68A1"/>
    <w:rsid w:val="56FF74DB"/>
    <w:rsid w:val="5783B9D1"/>
    <w:rsid w:val="57884094"/>
    <w:rsid w:val="57AE5F17"/>
    <w:rsid w:val="57B7A23E"/>
    <w:rsid w:val="57BF541F"/>
    <w:rsid w:val="57EF8FF7"/>
    <w:rsid w:val="57F425DF"/>
    <w:rsid w:val="57F83034"/>
    <w:rsid w:val="57FEC546"/>
    <w:rsid w:val="57FECD13"/>
    <w:rsid w:val="57FEE493"/>
    <w:rsid w:val="57FF7054"/>
    <w:rsid w:val="57FF7D3F"/>
    <w:rsid w:val="58FFE0C3"/>
    <w:rsid w:val="5943CC59"/>
    <w:rsid w:val="596F635A"/>
    <w:rsid w:val="599347D4"/>
    <w:rsid w:val="59DF8E58"/>
    <w:rsid w:val="59FEAA12"/>
    <w:rsid w:val="59FFB2BA"/>
    <w:rsid w:val="5A315A59"/>
    <w:rsid w:val="5A7B2317"/>
    <w:rsid w:val="5ABF947C"/>
    <w:rsid w:val="5ACFB1CD"/>
    <w:rsid w:val="5AF5F637"/>
    <w:rsid w:val="5AFFB3F2"/>
    <w:rsid w:val="5AFFDFF8"/>
    <w:rsid w:val="5B5F7040"/>
    <w:rsid w:val="5B7DFBAB"/>
    <w:rsid w:val="5B9F2932"/>
    <w:rsid w:val="5BDE3BDE"/>
    <w:rsid w:val="5BDEBD16"/>
    <w:rsid w:val="5BDF81F3"/>
    <w:rsid w:val="5BE373AF"/>
    <w:rsid w:val="5BEB2403"/>
    <w:rsid w:val="5BEC46A7"/>
    <w:rsid w:val="5BEDAC51"/>
    <w:rsid w:val="5BEEBBAC"/>
    <w:rsid w:val="5BF5F962"/>
    <w:rsid w:val="5BF76266"/>
    <w:rsid w:val="5BF78D4D"/>
    <w:rsid w:val="5BFF54A7"/>
    <w:rsid w:val="5BFFEEC2"/>
    <w:rsid w:val="5C7D95A9"/>
    <w:rsid w:val="5CCEC33B"/>
    <w:rsid w:val="5CFF43F2"/>
    <w:rsid w:val="5D1A02CE"/>
    <w:rsid w:val="5D37D625"/>
    <w:rsid w:val="5D3FCB5A"/>
    <w:rsid w:val="5D6FAFE0"/>
    <w:rsid w:val="5DAE1E94"/>
    <w:rsid w:val="5DDE8BC0"/>
    <w:rsid w:val="5DDFFC84"/>
    <w:rsid w:val="5DEE1EE2"/>
    <w:rsid w:val="5DEF1C11"/>
    <w:rsid w:val="5DFAB6C0"/>
    <w:rsid w:val="5DFF0B14"/>
    <w:rsid w:val="5DFF7485"/>
    <w:rsid w:val="5DFF941D"/>
    <w:rsid w:val="5E1707A7"/>
    <w:rsid w:val="5E3F4A3B"/>
    <w:rsid w:val="5E4D03F0"/>
    <w:rsid w:val="5E5E2634"/>
    <w:rsid w:val="5E5FF49E"/>
    <w:rsid w:val="5E6F58AB"/>
    <w:rsid w:val="5E6F59C2"/>
    <w:rsid w:val="5E74AC1B"/>
    <w:rsid w:val="5E7F57B7"/>
    <w:rsid w:val="5E7F60BF"/>
    <w:rsid w:val="5E7F7EE1"/>
    <w:rsid w:val="5E9FA032"/>
    <w:rsid w:val="5EB302F3"/>
    <w:rsid w:val="5EBD6A0B"/>
    <w:rsid w:val="5EBDEBA0"/>
    <w:rsid w:val="5ECD8428"/>
    <w:rsid w:val="5EDB0263"/>
    <w:rsid w:val="5EDD6A8A"/>
    <w:rsid w:val="5EE39B94"/>
    <w:rsid w:val="5EEB4787"/>
    <w:rsid w:val="5EEE4921"/>
    <w:rsid w:val="5EFA0709"/>
    <w:rsid w:val="5EFE74B3"/>
    <w:rsid w:val="5F0FA239"/>
    <w:rsid w:val="5F16CADA"/>
    <w:rsid w:val="5F3F692D"/>
    <w:rsid w:val="5F57E89B"/>
    <w:rsid w:val="5F6C92A7"/>
    <w:rsid w:val="5F6DA5AA"/>
    <w:rsid w:val="5F6E1DC7"/>
    <w:rsid w:val="5F6EAC48"/>
    <w:rsid w:val="5F773F23"/>
    <w:rsid w:val="5F7BD1B9"/>
    <w:rsid w:val="5F7D3D0E"/>
    <w:rsid w:val="5F7F38F2"/>
    <w:rsid w:val="5F7F5174"/>
    <w:rsid w:val="5F7FB1C8"/>
    <w:rsid w:val="5F7FC2E7"/>
    <w:rsid w:val="5F7FD779"/>
    <w:rsid w:val="5F7FEFDF"/>
    <w:rsid w:val="5F9B5AEA"/>
    <w:rsid w:val="5F9F4F3B"/>
    <w:rsid w:val="5FACC553"/>
    <w:rsid w:val="5FADF34C"/>
    <w:rsid w:val="5FB6AB88"/>
    <w:rsid w:val="5FB6C5DB"/>
    <w:rsid w:val="5FBB1253"/>
    <w:rsid w:val="5FBFF17B"/>
    <w:rsid w:val="5FD24F5E"/>
    <w:rsid w:val="5FDA0954"/>
    <w:rsid w:val="5FDB9D85"/>
    <w:rsid w:val="5FDE1D68"/>
    <w:rsid w:val="5FDF1279"/>
    <w:rsid w:val="5FDF980A"/>
    <w:rsid w:val="5FE7015F"/>
    <w:rsid w:val="5FE7C020"/>
    <w:rsid w:val="5FEDA7E9"/>
    <w:rsid w:val="5FEDE153"/>
    <w:rsid w:val="5FEF64A5"/>
    <w:rsid w:val="5FEFB47C"/>
    <w:rsid w:val="5FEFFAC1"/>
    <w:rsid w:val="5FF3098A"/>
    <w:rsid w:val="5FF4471E"/>
    <w:rsid w:val="5FF69DDD"/>
    <w:rsid w:val="5FF7813E"/>
    <w:rsid w:val="5FF7B417"/>
    <w:rsid w:val="5FF9D41C"/>
    <w:rsid w:val="5FFA8B03"/>
    <w:rsid w:val="5FFAEAD2"/>
    <w:rsid w:val="5FFB8E8E"/>
    <w:rsid w:val="5FFD8744"/>
    <w:rsid w:val="5FFF23EF"/>
    <w:rsid w:val="5FFFA413"/>
    <w:rsid w:val="5FFFA4F4"/>
    <w:rsid w:val="5FFFB15F"/>
    <w:rsid w:val="60605BDE"/>
    <w:rsid w:val="60F05534"/>
    <w:rsid w:val="617AB883"/>
    <w:rsid w:val="61F3ADAF"/>
    <w:rsid w:val="621DBB4C"/>
    <w:rsid w:val="62C1E625"/>
    <w:rsid w:val="63585935"/>
    <w:rsid w:val="63F10EF5"/>
    <w:rsid w:val="65CB4C23"/>
    <w:rsid w:val="65D43C31"/>
    <w:rsid w:val="65FACF48"/>
    <w:rsid w:val="663FCE40"/>
    <w:rsid w:val="66770D01"/>
    <w:rsid w:val="667B5C01"/>
    <w:rsid w:val="66EE54A6"/>
    <w:rsid w:val="66F6D498"/>
    <w:rsid w:val="67371475"/>
    <w:rsid w:val="673B8016"/>
    <w:rsid w:val="675FEAC1"/>
    <w:rsid w:val="67614814"/>
    <w:rsid w:val="67629631"/>
    <w:rsid w:val="67677168"/>
    <w:rsid w:val="676CFD9C"/>
    <w:rsid w:val="676F073E"/>
    <w:rsid w:val="67757CFB"/>
    <w:rsid w:val="677778F4"/>
    <w:rsid w:val="679E0A22"/>
    <w:rsid w:val="67AF89CB"/>
    <w:rsid w:val="67DB8A25"/>
    <w:rsid w:val="67DFE020"/>
    <w:rsid w:val="67F07263"/>
    <w:rsid w:val="67F286A2"/>
    <w:rsid w:val="67F7B79D"/>
    <w:rsid w:val="67FD4951"/>
    <w:rsid w:val="67FD7F30"/>
    <w:rsid w:val="67FEC313"/>
    <w:rsid w:val="67FF95E1"/>
    <w:rsid w:val="67FFFE48"/>
    <w:rsid w:val="689C2BA5"/>
    <w:rsid w:val="68DF5842"/>
    <w:rsid w:val="68FF6E02"/>
    <w:rsid w:val="69476490"/>
    <w:rsid w:val="6A3550C7"/>
    <w:rsid w:val="6A56EC92"/>
    <w:rsid w:val="6A5D0BA7"/>
    <w:rsid w:val="6A6EDEF1"/>
    <w:rsid w:val="6A7F073C"/>
    <w:rsid w:val="6AB448D3"/>
    <w:rsid w:val="6AF6B313"/>
    <w:rsid w:val="6AFA1386"/>
    <w:rsid w:val="6AFFB41C"/>
    <w:rsid w:val="6B3322CF"/>
    <w:rsid w:val="6B7FE349"/>
    <w:rsid w:val="6BA7212C"/>
    <w:rsid w:val="6BB7C593"/>
    <w:rsid w:val="6BBFE6F8"/>
    <w:rsid w:val="6BC688D6"/>
    <w:rsid w:val="6BCD5975"/>
    <w:rsid w:val="6BDB7ACE"/>
    <w:rsid w:val="6BDD04B7"/>
    <w:rsid w:val="6BDD6FBE"/>
    <w:rsid w:val="6BE78262"/>
    <w:rsid w:val="6BF716BE"/>
    <w:rsid w:val="6BFB7801"/>
    <w:rsid w:val="6BFB832F"/>
    <w:rsid w:val="6C4FD6BE"/>
    <w:rsid w:val="6C9F0654"/>
    <w:rsid w:val="6CCE8B05"/>
    <w:rsid w:val="6CE36943"/>
    <w:rsid w:val="6CFE5EA4"/>
    <w:rsid w:val="6CFFBC84"/>
    <w:rsid w:val="6CFFC487"/>
    <w:rsid w:val="6D4B08AD"/>
    <w:rsid w:val="6D4F5F4F"/>
    <w:rsid w:val="6D65FE75"/>
    <w:rsid w:val="6D6D13A5"/>
    <w:rsid w:val="6D6D3C63"/>
    <w:rsid w:val="6D7BF44F"/>
    <w:rsid w:val="6DBFB3A7"/>
    <w:rsid w:val="6DC70503"/>
    <w:rsid w:val="6DEE1591"/>
    <w:rsid w:val="6DEF3456"/>
    <w:rsid w:val="6DFD8766"/>
    <w:rsid w:val="6DFF454D"/>
    <w:rsid w:val="6DFF8EB3"/>
    <w:rsid w:val="6DFFC0CC"/>
    <w:rsid w:val="6DFFD752"/>
    <w:rsid w:val="6DFFFD32"/>
    <w:rsid w:val="6E32F419"/>
    <w:rsid w:val="6E6D2921"/>
    <w:rsid w:val="6E7E103D"/>
    <w:rsid w:val="6E7F83A2"/>
    <w:rsid w:val="6E9BCD5A"/>
    <w:rsid w:val="6EBAC43E"/>
    <w:rsid w:val="6EDF072D"/>
    <w:rsid w:val="6EE43620"/>
    <w:rsid w:val="6EEE0F84"/>
    <w:rsid w:val="6EEF0DF4"/>
    <w:rsid w:val="6EEF332F"/>
    <w:rsid w:val="6EF5BE98"/>
    <w:rsid w:val="6EF99A2D"/>
    <w:rsid w:val="6EFB4953"/>
    <w:rsid w:val="6EFBF7F9"/>
    <w:rsid w:val="6EFC8AD0"/>
    <w:rsid w:val="6EFD52F7"/>
    <w:rsid w:val="6EFDE49A"/>
    <w:rsid w:val="6EFE6385"/>
    <w:rsid w:val="6EFEE4F1"/>
    <w:rsid w:val="6F1F4FFF"/>
    <w:rsid w:val="6F37249F"/>
    <w:rsid w:val="6F3AB460"/>
    <w:rsid w:val="6F5F03EE"/>
    <w:rsid w:val="6F6D7BF1"/>
    <w:rsid w:val="6F777177"/>
    <w:rsid w:val="6F7DC450"/>
    <w:rsid w:val="6F7F86FE"/>
    <w:rsid w:val="6F966787"/>
    <w:rsid w:val="6FAFEFF6"/>
    <w:rsid w:val="6FB5AD3B"/>
    <w:rsid w:val="6FBA0EA7"/>
    <w:rsid w:val="6FBA6136"/>
    <w:rsid w:val="6FBB37FA"/>
    <w:rsid w:val="6FBC68D5"/>
    <w:rsid w:val="6FBC9274"/>
    <w:rsid w:val="6FBE2057"/>
    <w:rsid w:val="6FBF7663"/>
    <w:rsid w:val="6FBF9BE2"/>
    <w:rsid w:val="6FCE0815"/>
    <w:rsid w:val="6FD35AD8"/>
    <w:rsid w:val="6FDF0C9A"/>
    <w:rsid w:val="6FDF9D5C"/>
    <w:rsid w:val="6FEE58B9"/>
    <w:rsid w:val="6FF3B392"/>
    <w:rsid w:val="6FF4E4E5"/>
    <w:rsid w:val="6FF618E1"/>
    <w:rsid w:val="6FF6D1A3"/>
    <w:rsid w:val="6FF75C0E"/>
    <w:rsid w:val="6FF77107"/>
    <w:rsid w:val="6FF7B1E6"/>
    <w:rsid w:val="6FF80F80"/>
    <w:rsid w:val="6FF8A44F"/>
    <w:rsid w:val="6FFB8632"/>
    <w:rsid w:val="6FFBBA6B"/>
    <w:rsid w:val="6FFC67E3"/>
    <w:rsid w:val="6FFDC149"/>
    <w:rsid w:val="6FFE12D9"/>
    <w:rsid w:val="6FFE219F"/>
    <w:rsid w:val="6FFEDC9C"/>
    <w:rsid w:val="6FFEE758"/>
    <w:rsid w:val="6FFF1DDA"/>
    <w:rsid w:val="707B10C2"/>
    <w:rsid w:val="70EFB073"/>
    <w:rsid w:val="71ABB373"/>
    <w:rsid w:val="71DA07F5"/>
    <w:rsid w:val="71EF4074"/>
    <w:rsid w:val="720D7E09"/>
    <w:rsid w:val="7272CFD0"/>
    <w:rsid w:val="72AD5562"/>
    <w:rsid w:val="72DC12EB"/>
    <w:rsid w:val="72FD6F36"/>
    <w:rsid w:val="73664FC9"/>
    <w:rsid w:val="73795F78"/>
    <w:rsid w:val="73CC907C"/>
    <w:rsid w:val="73CF486A"/>
    <w:rsid w:val="73CFB6D1"/>
    <w:rsid w:val="73DF74D5"/>
    <w:rsid w:val="73EF4AAB"/>
    <w:rsid w:val="73F959B5"/>
    <w:rsid w:val="73FF1641"/>
    <w:rsid w:val="73FF6EA4"/>
    <w:rsid w:val="73FF9ED7"/>
    <w:rsid w:val="74157AA4"/>
    <w:rsid w:val="7469E6B0"/>
    <w:rsid w:val="74DF2675"/>
    <w:rsid w:val="74FDF0AE"/>
    <w:rsid w:val="74FF4864"/>
    <w:rsid w:val="7510E195"/>
    <w:rsid w:val="754FAF01"/>
    <w:rsid w:val="7559A8B1"/>
    <w:rsid w:val="756C7827"/>
    <w:rsid w:val="756F2350"/>
    <w:rsid w:val="75753461"/>
    <w:rsid w:val="757B7516"/>
    <w:rsid w:val="757E601D"/>
    <w:rsid w:val="758AF463"/>
    <w:rsid w:val="75AD1FB5"/>
    <w:rsid w:val="75B793E7"/>
    <w:rsid w:val="75BD1B60"/>
    <w:rsid w:val="75BDE50E"/>
    <w:rsid w:val="75BF9581"/>
    <w:rsid w:val="75DF5E5F"/>
    <w:rsid w:val="75DF65A2"/>
    <w:rsid w:val="75EB832C"/>
    <w:rsid w:val="75EF98AE"/>
    <w:rsid w:val="75EFB2AE"/>
    <w:rsid w:val="75FF700C"/>
    <w:rsid w:val="75FFB9FA"/>
    <w:rsid w:val="767D44CF"/>
    <w:rsid w:val="76ADCE91"/>
    <w:rsid w:val="76BFC027"/>
    <w:rsid w:val="76C7F183"/>
    <w:rsid w:val="76DC0D7A"/>
    <w:rsid w:val="76E99DC5"/>
    <w:rsid w:val="76E9C262"/>
    <w:rsid w:val="76F3C0B0"/>
    <w:rsid w:val="76FB3C44"/>
    <w:rsid w:val="76FFEA06"/>
    <w:rsid w:val="77377B80"/>
    <w:rsid w:val="773B75D1"/>
    <w:rsid w:val="773FD9C1"/>
    <w:rsid w:val="77537875"/>
    <w:rsid w:val="775C54B8"/>
    <w:rsid w:val="776932D2"/>
    <w:rsid w:val="777B05F8"/>
    <w:rsid w:val="777F27E4"/>
    <w:rsid w:val="777F58BB"/>
    <w:rsid w:val="779D6EC2"/>
    <w:rsid w:val="77A21DAA"/>
    <w:rsid w:val="77A3F45F"/>
    <w:rsid w:val="77A8ADF7"/>
    <w:rsid w:val="77AB974C"/>
    <w:rsid w:val="77AF729A"/>
    <w:rsid w:val="77B792D6"/>
    <w:rsid w:val="77BD974F"/>
    <w:rsid w:val="77BE503C"/>
    <w:rsid w:val="77C9F6A7"/>
    <w:rsid w:val="77CF8ED7"/>
    <w:rsid w:val="77D7B44B"/>
    <w:rsid w:val="77E3EBD7"/>
    <w:rsid w:val="77E9E3E0"/>
    <w:rsid w:val="77EE747B"/>
    <w:rsid w:val="77EF7C8A"/>
    <w:rsid w:val="77EFADF9"/>
    <w:rsid w:val="77EFE5AD"/>
    <w:rsid w:val="77F10868"/>
    <w:rsid w:val="77F3DCDF"/>
    <w:rsid w:val="77F56EBF"/>
    <w:rsid w:val="77F594EB"/>
    <w:rsid w:val="77F7EC37"/>
    <w:rsid w:val="77FA4757"/>
    <w:rsid w:val="77FA5D10"/>
    <w:rsid w:val="77FB321E"/>
    <w:rsid w:val="77FBB1B2"/>
    <w:rsid w:val="77FD5039"/>
    <w:rsid w:val="77FEC3F5"/>
    <w:rsid w:val="77FF081F"/>
    <w:rsid w:val="77FF62CC"/>
    <w:rsid w:val="77FF6DF9"/>
    <w:rsid w:val="77FFD20D"/>
    <w:rsid w:val="77FFEC36"/>
    <w:rsid w:val="781E4120"/>
    <w:rsid w:val="78931DC3"/>
    <w:rsid w:val="78DF6F00"/>
    <w:rsid w:val="793FACE1"/>
    <w:rsid w:val="796E00B8"/>
    <w:rsid w:val="797DE606"/>
    <w:rsid w:val="797EE5F3"/>
    <w:rsid w:val="797FDC7A"/>
    <w:rsid w:val="798EFC5D"/>
    <w:rsid w:val="799BECDF"/>
    <w:rsid w:val="799DBD8A"/>
    <w:rsid w:val="799FE8E7"/>
    <w:rsid w:val="79AF040C"/>
    <w:rsid w:val="79D7E9D9"/>
    <w:rsid w:val="79D9AC17"/>
    <w:rsid w:val="79FD4CD3"/>
    <w:rsid w:val="79FF6F2E"/>
    <w:rsid w:val="79FFA2B3"/>
    <w:rsid w:val="79FFA3A4"/>
    <w:rsid w:val="79FFCF36"/>
    <w:rsid w:val="79FFE302"/>
    <w:rsid w:val="7A3FE4D2"/>
    <w:rsid w:val="7A74CE49"/>
    <w:rsid w:val="7AB79E41"/>
    <w:rsid w:val="7AD60CA1"/>
    <w:rsid w:val="7AFD6259"/>
    <w:rsid w:val="7AFE16D6"/>
    <w:rsid w:val="7AFE4E04"/>
    <w:rsid w:val="7AFF00F9"/>
    <w:rsid w:val="7AFF8F92"/>
    <w:rsid w:val="7AFFAB3C"/>
    <w:rsid w:val="7B3F9B0A"/>
    <w:rsid w:val="7B3F9D1C"/>
    <w:rsid w:val="7B3FD262"/>
    <w:rsid w:val="7B454CB4"/>
    <w:rsid w:val="7B758164"/>
    <w:rsid w:val="7B7B89DA"/>
    <w:rsid w:val="7B7C4C82"/>
    <w:rsid w:val="7B7F9B44"/>
    <w:rsid w:val="7B9E5751"/>
    <w:rsid w:val="7BA3B6DE"/>
    <w:rsid w:val="7BAE9751"/>
    <w:rsid w:val="7BBF0CA9"/>
    <w:rsid w:val="7BBF67DC"/>
    <w:rsid w:val="7BBFA5D6"/>
    <w:rsid w:val="7BBFD7D6"/>
    <w:rsid w:val="7BCE9D06"/>
    <w:rsid w:val="7BCFE961"/>
    <w:rsid w:val="7BD1B08F"/>
    <w:rsid w:val="7BD49E9F"/>
    <w:rsid w:val="7BD7FE3F"/>
    <w:rsid w:val="7BDB6A79"/>
    <w:rsid w:val="7BDF010B"/>
    <w:rsid w:val="7BDF2289"/>
    <w:rsid w:val="7BDF34C4"/>
    <w:rsid w:val="7BDFD096"/>
    <w:rsid w:val="7BDFFC84"/>
    <w:rsid w:val="7BE7D8C1"/>
    <w:rsid w:val="7BE9384A"/>
    <w:rsid w:val="7BF6F7E2"/>
    <w:rsid w:val="7BF78367"/>
    <w:rsid w:val="7BF79A82"/>
    <w:rsid w:val="7BFB7279"/>
    <w:rsid w:val="7BFDC53B"/>
    <w:rsid w:val="7BFE8E46"/>
    <w:rsid w:val="7BFF2232"/>
    <w:rsid w:val="7BFF7045"/>
    <w:rsid w:val="7BFF971D"/>
    <w:rsid w:val="7BFFFAEF"/>
    <w:rsid w:val="7C2102A1"/>
    <w:rsid w:val="7C3BE8E5"/>
    <w:rsid w:val="7C7B896C"/>
    <w:rsid w:val="7C913AEF"/>
    <w:rsid w:val="7CA7AF05"/>
    <w:rsid w:val="7CDE3381"/>
    <w:rsid w:val="7CEFC204"/>
    <w:rsid w:val="7CF1B350"/>
    <w:rsid w:val="7CF50807"/>
    <w:rsid w:val="7CFDCCBA"/>
    <w:rsid w:val="7CFE9B85"/>
    <w:rsid w:val="7CFF7938"/>
    <w:rsid w:val="7CFF91E1"/>
    <w:rsid w:val="7D3FEA68"/>
    <w:rsid w:val="7D6BCD70"/>
    <w:rsid w:val="7D732B3C"/>
    <w:rsid w:val="7D7BC045"/>
    <w:rsid w:val="7D7DB67B"/>
    <w:rsid w:val="7D7FF82B"/>
    <w:rsid w:val="7D832370"/>
    <w:rsid w:val="7D86C721"/>
    <w:rsid w:val="7D884CBB"/>
    <w:rsid w:val="7D9D8322"/>
    <w:rsid w:val="7D9FE7FF"/>
    <w:rsid w:val="7DAD5688"/>
    <w:rsid w:val="7DAD7B9B"/>
    <w:rsid w:val="7DB887C5"/>
    <w:rsid w:val="7DBF2E6B"/>
    <w:rsid w:val="7DBF5FC8"/>
    <w:rsid w:val="7DBF6471"/>
    <w:rsid w:val="7DBF7E5C"/>
    <w:rsid w:val="7DBFF652"/>
    <w:rsid w:val="7DC485ED"/>
    <w:rsid w:val="7DCB33B0"/>
    <w:rsid w:val="7DD38334"/>
    <w:rsid w:val="7DD76373"/>
    <w:rsid w:val="7DDB1ED1"/>
    <w:rsid w:val="7DE717F2"/>
    <w:rsid w:val="7DE74588"/>
    <w:rsid w:val="7DEAAA98"/>
    <w:rsid w:val="7DEB1CA7"/>
    <w:rsid w:val="7DEE5F6B"/>
    <w:rsid w:val="7DEF3D75"/>
    <w:rsid w:val="7DEF7588"/>
    <w:rsid w:val="7DEFDAE0"/>
    <w:rsid w:val="7DF3067A"/>
    <w:rsid w:val="7DF3938F"/>
    <w:rsid w:val="7DF676D7"/>
    <w:rsid w:val="7DF677D5"/>
    <w:rsid w:val="7DF67CA5"/>
    <w:rsid w:val="7DF726D8"/>
    <w:rsid w:val="7DF7DC43"/>
    <w:rsid w:val="7DF872A1"/>
    <w:rsid w:val="7DF910D1"/>
    <w:rsid w:val="7DFD98CF"/>
    <w:rsid w:val="7DFE0FB0"/>
    <w:rsid w:val="7DFE4E8D"/>
    <w:rsid w:val="7DFEA0FA"/>
    <w:rsid w:val="7DFF18DE"/>
    <w:rsid w:val="7DFF8289"/>
    <w:rsid w:val="7DFF97F9"/>
    <w:rsid w:val="7E1ECB14"/>
    <w:rsid w:val="7E1F9F47"/>
    <w:rsid w:val="7E3391A6"/>
    <w:rsid w:val="7E5FC241"/>
    <w:rsid w:val="7E6DB540"/>
    <w:rsid w:val="7E6FD5D1"/>
    <w:rsid w:val="7E7A8537"/>
    <w:rsid w:val="7E7BB9FF"/>
    <w:rsid w:val="7E7E96CB"/>
    <w:rsid w:val="7E7F45EB"/>
    <w:rsid w:val="7E7FE2B7"/>
    <w:rsid w:val="7E8F5B0E"/>
    <w:rsid w:val="7EB1C43E"/>
    <w:rsid w:val="7EB7369F"/>
    <w:rsid w:val="7EBD5B7F"/>
    <w:rsid w:val="7EBF29D3"/>
    <w:rsid w:val="7EBFED15"/>
    <w:rsid w:val="7EC77AB4"/>
    <w:rsid w:val="7ECB703C"/>
    <w:rsid w:val="7EED5392"/>
    <w:rsid w:val="7EED7EAE"/>
    <w:rsid w:val="7EEDFE64"/>
    <w:rsid w:val="7EEE1D83"/>
    <w:rsid w:val="7EEF5221"/>
    <w:rsid w:val="7EF4DA42"/>
    <w:rsid w:val="7EF57C5B"/>
    <w:rsid w:val="7EF60D1E"/>
    <w:rsid w:val="7EF66922"/>
    <w:rsid w:val="7EF7B0A5"/>
    <w:rsid w:val="7EF7F081"/>
    <w:rsid w:val="7EFBA243"/>
    <w:rsid w:val="7EFBD7E8"/>
    <w:rsid w:val="7EFBE8FE"/>
    <w:rsid w:val="7EFCA9CA"/>
    <w:rsid w:val="7EFE38C4"/>
    <w:rsid w:val="7EFE7853"/>
    <w:rsid w:val="7EFF058B"/>
    <w:rsid w:val="7EFFDA17"/>
    <w:rsid w:val="7EFFF8B1"/>
    <w:rsid w:val="7F17BE3B"/>
    <w:rsid w:val="7F251AB5"/>
    <w:rsid w:val="7F2F46A9"/>
    <w:rsid w:val="7F2F6C7F"/>
    <w:rsid w:val="7F33F185"/>
    <w:rsid w:val="7F3B17A1"/>
    <w:rsid w:val="7F3B3C98"/>
    <w:rsid w:val="7F3FD3C4"/>
    <w:rsid w:val="7F3FEC9E"/>
    <w:rsid w:val="7F3FF3EC"/>
    <w:rsid w:val="7F4F9BFE"/>
    <w:rsid w:val="7F529A89"/>
    <w:rsid w:val="7F576177"/>
    <w:rsid w:val="7F591A56"/>
    <w:rsid w:val="7F5BDE8E"/>
    <w:rsid w:val="7F5E73E4"/>
    <w:rsid w:val="7F5F329B"/>
    <w:rsid w:val="7F5F6100"/>
    <w:rsid w:val="7F5F8A79"/>
    <w:rsid w:val="7F5F99D0"/>
    <w:rsid w:val="7F5FF058"/>
    <w:rsid w:val="7F6BE4B8"/>
    <w:rsid w:val="7F6FAE46"/>
    <w:rsid w:val="7F6FE53B"/>
    <w:rsid w:val="7F77006A"/>
    <w:rsid w:val="7F77580B"/>
    <w:rsid w:val="7F779ED7"/>
    <w:rsid w:val="7F7A01C2"/>
    <w:rsid w:val="7F7A9BA7"/>
    <w:rsid w:val="7F7D9645"/>
    <w:rsid w:val="7F7DC50C"/>
    <w:rsid w:val="7F7DFC70"/>
    <w:rsid w:val="7F7E605F"/>
    <w:rsid w:val="7F7EB9EB"/>
    <w:rsid w:val="7F7F0440"/>
    <w:rsid w:val="7F7F5C57"/>
    <w:rsid w:val="7F7FFE82"/>
    <w:rsid w:val="7F9BEB82"/>
    <w:rsid w:val="7F9F102F"/>
    <w:rsid w:val="7F9F5B7A"/>
    <w:rsid w:val="7F9F8E55"/>
    <w:rsid w:val="7FA753A3"/>
    <w:rsid w:val="7FA9E617"/>
    <w:rsid w:val="7FADD9E2"/>
    <w:rsid w:val="7FAF130A"/>
    <w:rsid w:val="7FAF21EE"/>
    <w:rsid w:val="7FAF7352"/>
    <w:rsid w:val="7FB397E8"/>
    <w:rsid w:val="7FB6550A"/>
    <w:rsid w:val="7FB73086"/>
    <w:rsid w:val="7FB740EA"/>
    <w:rsid w:val="7FB9A69B"/>
    <w:rsid w:val="7FBA3C8B"/>
    <w:rsid w:val="7FBB51F9"/>
    <w:rsid w:val="7FBBFA67"/>
    <w:rsid w:val="7FBC803C"/>
    <w:rsid w:val="7FBDAF2A"/>
    <w:rsid w:val="7FBE413F"/>
    <w:rsid w:val="7FBECEC7"/>
    <w:rsid w:val="7FBF0099"/>
    <w:rsid w:val="7FBF14B3"/>
    <w:rsid w:val="7FBF8458"/>
    <w:rsid w:val="7FBF9E4B"/>
    <w:rsid w:val="7FC70CA2"/>
    <w:rsid w:val="7FCB1E3F"/>
    <w:rsid w:val="7FCE6944"/>
    <w:rsid w:val="7FCF32F7"/>
    <w:rsid w:val="7FCFC2F8"/>
    <w:rsid w:val="7FD6761A"/>
    <w:rsid w:val="7FD6E2D4"/>
    <w:rsid w:val="7FD6F00A"/>
    <w:rsid w:val="7FD744E1"/>
    <w:rsid w:val="7FDB993D"/>
    <w:rsid w:val="7FDF0239"/>
    <w:rsid w:val="7FDF3F7B"/>
    <w:rsid w:val="7FDF8C3B"/>
    <w:rsid w:val="7FDFC329"/>
    <w:rsid w:val="7FDFF26B"/>
    <w:rsid w:val="7FE34CBD"/>
    <w:rsid w:val="7FE58EBD"/>
    <w:rsid w:val="7FE769C0"/>
    <w:rsid w:val="7FE96130"/>
    <w:rsid w:val="7FEA5796"/>
    <w:rsid w:val="7FEDB637"/>
    <w:rsid w:val="7FEDC5FF"/>
    <w:rsid w:val="7FEDEFAA"/>
    <w:rsid w:val="7FEE5A61"/>
    <w:rsid w:val="7FEF2126"/>
    <w:rsid w:val="7FF199C0"/>
    <w:rsid w:val="7FF1BC61"/>
    <w:rsid w:val="7FF73751"/>
    <w:rsid w:val="7FF739D3"/>
    <w:rsid w:val="7FF7423D"/>
    <w:rsid w:val="7FF7437F"/>
    <w:rsid w:val="7FF761AB"/>
    <w:rsid w:val="7FF777EC"/>
    <w:rsid w:val="7FF7C563"/>
    <w:rsid w:val="7FF7D703"/>
    <w:rsid w:val="7FF7D92A"/>
    <w:rsid w:val="7FF7DD4D"/>
    <w:rsid w:val="7FF7E484"/>
    <w:rsid w:val="7FF7EC25"/>
    <w:rsid w:val="7FFA2522"/>
    <w:rsid w:val="7FFB3230"/>
    <w:rsid w:val="7FFB3366"/>
    <w:rsid w:val="7FFB492C"/>
    <w:rsid w:val="7FFC172B"/>
    <w:rsid w:val="7FFD31A7"/>
    <w:rsid w:val="7FFD371A"/>
    <w:rsid w:val="7FFD589E"/>
    <w:rsid w:val="7FFD6C39"/>
    <w:rsid w:val="7FFDF414"/>
    <w:rsid w:val="7FFE1A78"/>
    <w:rsid w:val="7FFE36A1"/>
    <w:rsid w:val="7FFE575A"/>
    <w:rsid w:val="7FFE7106"/>
    <w:rsid w:val="7FFEAE07"/>
    <w:rsid w:val="7FFEC339"/>
    <w:rsid w:val="7FFF1347"/>
    <w:rsid w:val="7FFF148E"/>
    <w:rsid w:val="7FFF1A7B"/>
    <w:rsid w:val="7FFF3C13"/>
    <w:rsid w:val="7FFF41CE"/>
    <w:rsid w:val="7FFF6E14"/>
    <w:rsid w:val="7FFF9C74"/>
    <w:rsid w:val="7FFF9F07"/>
    <w:rsid w:val="7FFFB100"/>
    <w:rsid w:val="7FFFB2B7"/>
    <w:rsid w:val="7FFFB3B3"/>
    <w:rsid w:val="7FFFB530"/>
    <w:rsid w:val="7FFFBF53"/>
    <w:rsid w:val="7FFFC5B2"/>
    <w:rsid w:val="7FFFCFBE"/>
    <w:rsid w:val="7FFFD099"/>
    <w:rsid w:val="7FFFD215"/>
    <w:rsid w:val="7FFFD565"/>
    <w:rsid w:val="7FFFFCAF"/>
    <w:rsid w:val="87528AB9"/>
    <w:rsid w:val="87965AC7"/>
    <w:rsid w:val="87C70AE1"/>
    <w:rsid w:val="87F842E1"/>
    <w:rsid w:val="87FF0C77"/>
    <w:rsid w:val="897EF00C"/>
    <w:rsid w:val="8AF714B5"/>
    <w:rsid w:val="8CD9B4DC"/>
    <w:rsid w:val="8DDF4D31"/>
    <w:rsid w:val="8E7EBF74"/>
    <w:rsid w:val="8EB9B504"/>
    <w:rsid w:val="8F11E5CB"/>
    <w:rsid w:val="926F41DF"/>
    <w:rsid w:val="936F312D"/>
    <w:rsid w:val="939F9048"/>
    <w:rsid w:val="93D79E06"/>
    <w:rsid w:val="93E70953"/>
    <w:rsid w:val="93FDC2E2"/>
    <w:rsid w:val="967F6A63"/>
    <w:rsid w:val="96C92BA6"/>
    <w:rsid w:val="96E944EC"/>
    <w:rsid w:val="9735EE70"/>
    <w:rsid w:val="9777985C"/>
    <w:rsid w:val="997ED030"/>
    <w:rsid w:val="99FFE09A"/>
    <w:rsid w:val="9AFF10E5"/>
    <w:rsid w:val="9B72DDA2"/>
    <w:rsid w:val="9B75FB5D"/>
    <w:rsid w:val="9B77ACAB"/>
    <w:rsid w:val="9B9DCFDE"/>
    <w:rsid w:val="9BADACC2"/>
    <w:rsid w:val="9BC7D779"/>
    <w:rsid w:val="9BF75902"/>
    <w:rsid w:val="9BFE5192"/>
    <w:rsid w:val="9BFF784A"/>
    <w:rsid w:val="9C3F0454"/>
    <w:rsid w:val="9D3FEAA0"/>
    <w:rsid w:val="9EDD0A18"/>
    <w:rsid w:val="9EE7C9EA"/>
    <w:rsid w:val="9EEDF2D9"/>
    <w:rsid w:val="9EFF44E4"/>
    <w:rsid w:val="9EFF8EC4"/>
    <w:rsid w:val="9EFFF19A"/>
    <w:rsid w:val="9F3FADF6"/>
    <w:rsid w:val="9F770782"/>
    <w:rsid w:val="9FB66D4D"/>
    <w:rsid w:val="9FBDEAF1"/>
    <w:rsid w:val="9FBF82BA"/>
    <w:rsid w:val="9FE9B683"/>
    <w:rsid w:val="9FF92682"/>
    <w:rsid w:val="9FFB8DA9"/>
    <w:rsid w:val="9FFE2BC7"/>
    <w:rsid w:val="9FFE73D7"/>
    <w:rsid w:val="9FFE9DEE"/>
    <w:rsid w:val="A1F81F73"/>
    <w:rsid w:val="A35B3610"/>
    <w:rsid w:val="A4FFE6AF"/>
    <w:rsid w:val="A57B112D"/>
    <w:rsid w:val="A6E2FE23"/>
    <w:rsid w:val="A76F7381"/>
    <w:rsid w:val="A77E71C3"/>
    <w:rsid w:val="A7F1769A"/>
    <w:rsid w:val="A7F7A61C"/>
    <w:rsid w:val="A9379DC1"/>
    <w:rsid w:val="A95F9522"/>
    <w:rsid w:val="A9B5150E"/>
    <w:rsid w:val="A9DFEDFE"/>
    <w:rsid w:val="A9FBEE47"/>
    <w:rsid w:val="AABBA249"/>
    <w:rsid w:val="ABBFFAC7"/>
    <w:rsid w:val="ABD79E6B"/>
    <w:rsid w:val="ABF9BACD"/>
    <w:rsid w:val="ABFE573B"/>
    <w:rsid w:val="AC5D13AA"/>
    <w:rsid w:val="AD555013"/>
    <w:rsid w:val="AD7CABBB"/>
    <w:rsid w:val="ADAAECBD"/>
    <w:rsid w:val="ADCFBF4F"/>
    <w:rsid w:val="ADDFCBBB"/>
    <w:rsid w:val="ADF78875"/>
    <w:rsid w:val="ADFE3D30"/>
    <w:rsid w:val="AE126E16"/>
    <w:rsid w:val="AE4D4E49"/>
    <w:rsid w:val="AE69F368"/>
    <w:rsid w:val="AE6D0DE5"/>
    <w:rsid w:val="AE6EBB59"/>
    <w:rsid w:val="AEEBD0CF"/>
    <w:rsid w:val="AF3AD085"/>
    <w:rsid w:val="AF771B56"/>
    <w:rsid w:val="AF7BE037"/>
    <w:rsid w:val="AF7F8115"/>
    <w:rsid w:val="AFA900FA"/>
    <w:rsid w:val="AFAF564E"/>
    <w:rsid w:val="AFBA873B"/>
    <w:rsid w:val="AFBE4873"/>
    <w:rsid w:val="AFBFD761"/>
    <w:rsid w:val="AFD7948E"/>
    <w:rsid w:val="AFDD2B28"/>
    <w:rsid w:val="AFEE7A18"/>
    <w:rsid w:val="AFF51D40"/>
    <w:rsid w:val="AFF5E228"/>
    <w:rsid w:val="AFF73C1D"/>
    <w:rsid w:val="AFF7CC63"/>
    <w:rsid w:val="AFF91801"/>
    <w:rsid w:val="AFFEFB18"/>
    <w:rsid w:val="B1BB0F7C"/>
    <w:rsid w:val="B1FF8B90"/>
    <w:rsid w:val="B2EFF7F2"/>
    <w:rsid w:val="B2FF1076"/>
    <w:rsid w:val="B377EF62"/>
    <w:rsid w:val="B39DDDAD"/>
    <w:rsid w:val="B3BB74F5"/>
    <w:rsid w:val="B3DE540B"/>
    <w:rsid w:val="B3F71CDF"/>
    <w:rsid w:val="B47FB9C6"/>
    <w:rsid w:val="B4ED9755"/>
    <w:rsid w:val="B57E5CE0"/>
    <w:rsid w:val="B5B8A396"/>
    <w:rsid w:val="B5E82066"/>
    <w:rsid w:val="B5FF76FE"/>
    <w:rsid w:val="B6BFCF1E"/>
    <w:rsid w:val="B6FE64C0"/>
    <w:rsid w:val="B6FFA38D"/>
    <w:rsid w:val="B73EC9F0"/>
    <w:rsid w:val="B75F7AAB"/>
    <w:rsid w:val="B7770B78"/>
    <w:rsid w:val="B7795174"/>
    <w:rsid w:val="B77F0EC5"/>
    <w:rsid w:val="B7B3FDA3"/>
    <w:rsid w:val="B7BE9139"/>
    <w:rsid w:val="B7BF90AD"/>
    <w:rsid w:val="B7BF9550"/>
    <w:rsid w:val="B7DF421C"/>
    <w:rsid w:val="B7DF8BED"/>
    <w:rsid w:val="B7DFE42B"/>
    <w:rsid w:val="B7DFE915"/>
    <w:rsid w:val="B7F716D0"/>
    <w:rsid w:val="B7F74623"/>
    <w:rsid w:val="B7FE5DE9"/>
    <w:rsid w:val="B87110A4"/>
    <w:rsid w:val="B8DF6992"/>
    <w:rsid w:val="B8E9DB2A"/>
    <w:rsid w:val="B8F43071"/>
    <w:rsid w:val="B93F9133"/>
    <w:rsid w:val="B9BB6BB7"/>
    <w:rsid w:val="B9E5D73F"/>
    <w:rsid w:val="BA1F9FCB"/>
    <w:rsid w:val="BA7689F2"/>
    <w:rsid w:val="BABBEE81"/>
    <w:rsid w:val="BAE71347"/>
    <w:rsid w:val="BAEFE5B6"/>
    <w:rsid w:val="BAFB7E28"/>
    <w:rsid w:val="BAFF39CC"/>
    <w:rsid w:val="BAFFA788"/>
    <w:rsid w:val="BAFFE9FA"/>
    <w:rsid w:val="BB6BBD17"/>
    <w:rsid w:val="BBBD5440"/>
    <w:rsid w:val="BBBF141C"/>
    <w:rsid w:val="BBBF7F21"/>
    <w:rsid w:val="BBDF07FD"/>
    <w:rsid w:val="BBE6D041"/>
    <w:rsid w:val="BBEE337F"/>
    <w:rsid w:val="BBEF49A5"/>
    <w:rsid w:val="BBFD89DA"/>
    <w:rsid w:val="BBFEBC09"/>
    <w:rsid w:val="BBFFD85F"/>
    <w:rsid w:val="BCBFD741"/>
    <w:rsid w:val="BCEB4091"/>
    <w:rsid w:val="BCFE3E9D"/>
    <w:rsid w:val="BD07D921"/>
    <w:rsid w:val="BD27AE1B"/>
    <w:rsid w:val="BD6B87B3"/>
    <w:rsid w:val="BD7EFEFD"/>
    <w:rsid w:val="BDAFD23F"/>
    <w:rsid w:val="BDBFF6D2"/>
    <w:rsid w:val="BDED3BEC"/>
    <w:rsid w:val="BDF73C8F"/>
    <w:rsid w:val="BDF7A0AD"/>
    <w:rsid w:val="BDF7F9B2"/>
    <w:rsid w:val="BDF96267"/>
    <w:rsid w:val="BDFD0054"/>
    <w:rsid w:val="BDFFB853"/>
    <w:rsid w:val="BDFFC262"/>
    <w:rsid w:val="BE5F0469"/>
    <w:rsid w:val="BE6F0947"/>
    <w:rsid w:val="BE7FB7CA"/>
    <w:rsid w:val="BEB9F3E2"/>
    <w:rsid w:val="BEBE2A14"/>
    <w:rsid w:val="BEE3EA30"/>
    <w:rsid w:val="BEE7EB16"/>
    <w:rsid w:val="BEEAAB35"/>
    <w:rsid w:val="BEEB2BA7"/>
    <w:rsid w:val="BEFB2CA2"/>
    <w:rsid w:val="BEFBC191"/>
    <w:rsid w:val="BEFED5A2"/>
    <w:rsid w:val="BF1D1586"/>
    <w:rsid w:val="BF22B30F"/>
    <w:rsid w:val="BF2EAD3E"/>
    <w:rsid w:val="BF2FC71D"/>
    <w:rsid w:val="BF564E10"/>
    <w:rsid w:val="BF6BA9CC"/>
    <w:rsid w:val="BF76A706"/>
    <w:rsid w:val="BF7B2CEA"/>
    <w:rsid w:val="BF7D6A5D"/>
    <w:rsid w:val="BF7E6150"/>
    <w:rsid w:val="BF935B90"/>
    <w:rsid w:val="BF936ED8"/>
    <w:rsid w:val="BF96788B"/>
    <w:rsid w:val="BF9E696C"/>
    <w:rsid w:val="BFAF121E"/>
    <w:rsid w:val="BFB7FCB1"/>
    <w:rsid w:val="BFBF5407"/>
    <w:rsid w:val="BFBF6908"/>
    <w:rsid w:val="BFBFB30E"/>
    <w:rsid w:val="BFBFBBBB"/>
    <w:rsid w:val="BFC7530F"/>
    <w:rsid w:val="BFCD0421"/>
    <w:rsid w:val="BFCE31AD"/>
    <w:rsid w:val="BFD394F6"/>
    <w:rsid w:val="BFD5889A"/>
    <w:rsid w:val="BFD6F24A"/>
    <w:rsid w:val="BFDB3AE4"/>
    <w:rsid w:val="BFDF443D"/>
    <w:rsid w:val="BFDF69C3"/>
    <w:rsid w:val="BFEAE8BF"/>
    <w:rsid w:val="BFEB298A"/>
    <w:rsid w:val="BFEFA0CE"/>
    <w:rsid w:val="BFEFF0F8"/>
    <w:rsid w:val="BFF57D4C"/>
    <w:rsid w:val="BFF68A07"/>
    <w:rsid w:val="BFF6D5F4"/>
    <w:rsid w:val="BFFBC0F6"/>
    <w:rsid w:val="BFFBE279"/>
    <w:rsid w:val="BFFE95FC"/>
    <w:rsid w:val="BFFECA24"/>
    <w:rsid w:val="BFFF0112"/>
    <w:rsid w:val="BFFF8546"/>
    <w:rsid w:val="BFFFDE1A"/>
    <w:rsid w:val="C37B53B6"/>
    <w:rsid w:val="C5DB5B03"/>
    <w:rsid w:val="C6BB522B"/>
    <w:rsid w:val="C7537EEB"/>
    <w:rsid w:val="C7678B2D"/>
    <w:rsid w:val="C7BF231C"/>
    <w:rsid w:val="C7EB608E"/>
    <w:rsid w:val="C7EF2B71"/>
    <w:rsid w:val="C89EC084"/>
    <w:rsid w:val="C8BDE775"/>
    <w:rsid w:val="C97E610F"/>
    <w:rsid w:val="C9FC7D8B"/>
    <w:rsid w:val="C9FF0E54"/>
    <w:rsid w:val="CAFF1D21"/>
    <w:rsid w:val="CAFF8D24"/>
    <w:rsid w:val="CB5EEBD5"/>
    <w:rsid w:val="CB777397"/>
    <w:rsid w:val="CB7B3476"/>
    <w:rsid w:val="CBBFBD84"/>
    <w:rsid w:val="CBF73D86"/>
    <w:rsid w:val="CBF7ADA0"/>
    <w:rsid w:val="CBFEE36A"/>
    <w:rsid w:val="CC2F57FC"/>
    <w:rsid w:val="CCE9EB42"/>
    <w:rsid w:val="CDEF1B71"/>
    <w:rsid w:val="CDF5C2D3"/>
    <w:rsid w:val="CDF78443"/>
    <w:rsid w:val="CE653152"/>
    <w:rsid w:val="CE9DD592"/>
    <w:rsid w:val="CEB19E75"/>
    <w:rsid w:val="CEDD4542"/>
    <w:rsid w:val="CEFC09B6"/>
    <w:rsid w:val="CEFEBA27"/>
    <w:rsid w:val="CEFF6DA0"/>
    <w:rsid w:val="CF07E5AE"/>
    <w:rsid w:val="CF66F1A5"/>
    <w:rsid w:val="CF8F922C"/>
    <w:rsid w:val="CF9E2C49"/>
    <w:rsid w:val="CFB7B727"/>
    <w:rsid w:val="CFD382F5"/>
    <w:rsid w:val="CFDC9072"/>
    <w:rsid w:val="CFE4E922"/>
    <w:rsid w:val="CFF3FF1E"/>
    <w:rsid w:val="CFF69935"/>
    <w:rsid w:val="D0FD9C12"/>
    <w:rsid w:val="D16DC452"/>
    <w:rsid w:val="D3A3E9C8"/>
    <w:rsid w:val="D3FBB0AF"/>
    <w:rsid w:val="D3FF6C15"/>
    <w:rsid w:val="D4EA5194"/>
    <w:rsid w:val="D4F30A04"/>
    <w:rsid w:val="D5F3720A"/>
    <w:rsid w:val="D5F74E12"/>
    <w:rsid w:val="D5F98927"/>
    <w:rsid w:val="D5FD1098"/>
    <w:rsid w:val="D5FF3361"/>
    <w:rsid w:val="D5FFC931"/>
    <w:rsid w:val="D6BB95CE"/>
    <w:rsid w:val="D6BFBD0F"/>
    <w:rsid w:val="D6DDDD88"/>
    <w:rsid w:val="D6DF15B0"/>
    <w:rsid w:val="D6DF4DDA"/>
    <w:rsid w:val="D73D0CBE"/>
    <w:rsid w:val="D74DD947"/>
    <w:rsid w:val="D74E919C"/>
    <w:rsid w:val="D76FE845"/>
    <w:rsid w:val="D77B855C"/>
    <w:rsid w:val="D77BDC44"/>
    <w:rsid w:val="D77F2CE7"/>
    <w:rsid w:val="D7B6AD4D"/>
    <w:rsid w:val="D7BF061E"/>
    <w:rsid w:val="D7DBE6F8"/>
    <w:rsid w:val="D7F1ABE5"/>
    <w:rsid w:val="D7F73B01"/>
    <w:rsid w:val="D7F968AF"/>
    <w:rsid w:val="D7FDD6E9"/>
    <w:rsid w:val="D7FEE909"/>
    <w:rsid w:val="D7FEF3E0"/>
    <w:rsid w:val="D7FFA5BF"/>
    <w:rsid w:val="D8BF202C"/>
    <w:rsid w:val="D9514514"/>
    <w:rsid w:val="D9BF376F"/>
    <w:rsid w:val="D9EAD53A"/>
    <w:rsid w:val="D9EED941"/>
    <w:rsid w:val="D9F345C8"/>
    <w:rsid w:val="D9F731DC"/>
    <w:rsid w:val="D9FD3BA4"/>
    <w:rsid w:val="D9FF1472"/>
    <w:rsid w:val="DA58680E"/>
    <w:rsid w:val="DA7F2373"/>
    <w:rsid w:val="DAA71C36"/>
    <w:rsid w:val="DABED573"/>
    <w:rsid w:val="DAE5E0E4"/>
    <w:rsid w:val="DAFDFDF0"/>
    <w:rsid w:val="DAFE3FFD"/>
    <w:rsid w:val="DB3F136C"/>
    <w:rsid w:val="DB3FBC48"/>
    <w:rsid w:val="DB3FEF9F"/>
    <w:rsid w:val="DB57ABA8"/>
    <w:rsid w:val="DB623902"/>
    <w:rsid w:val="DB6D2033"/>
    <w:rsid w:val="DB7B887D"/>
    <w:rsid w:val="DB7F5D36"/>
    <w:rsid w:val="DB7FBDE8"/>
    <w:rsid w:val="DBBEDD0D"/>
    <w:rsid w:val="DBBF1E3A"/>
    <w:rsid w:val="DBBFB7BF"/>
    <w:rsid w:val="DBC7B291"/>
    <w:rsid w:val="DBCB1FFA"/>
    <w:rsid w:val="DBE584CE"/>
    <w:rsid w:val="DBECE59D"/>
    <w:rsid w:val="DBEF3ABD"/>
    <w:rsid w:val="DBFA52BB"/>
    <w:rsid w:val="DBFD58C3"/>
    <w:rsid w:val="DBFF1A81"/>
    <w:rsid w:val="DBFF723E"/>
    <w:rsid w:val="DBFFD40D"/>
    <w:rsid w:val="DC8F986F"/>
    <w:rsid w:val="DCDFBA3B"/>
    <w:rsid w:val="DCDFEA37"/>
    <w:rsid w:val="DCFD5FD8"/>
    <w:rsid w:val="DCFDB701"/>
    <w:rsid w:val="DD3F8DD6"/>
    <w:rsid w:val="DD436540"/>
    <w:rsid w:val="DD60C9C5"/>
    <w:rsid w:val="DD7E4DF5"/>
    <w:rsid w:val="DD7FC5F9"/>
    <w:rsid w:val="DD96C9FE"/>
    <w:rsid w:val="DDBF2D2C"/>
    <w:rsid w:val="DDBFD2E9"/>
    <w:rsid w:val="DDEEF8F3"/>
    <w:rsid w:val="DDF335AD"/>
    <w:rsid w:val="DDF5D37E"/>
    <w:rsid w:val="DDFA5510"/>
    <w:rsid w:val="DDFA6CF8"/>
    <w:rsid w:val="DDFB1C07"/>
    <w:rsid w:val="DDFB3046"/>
    <w:rsid w:val="DE72DCE2"/>
    <w:rsid w:val="DE7F0ED5"/>
    <w:rsid w:val="DEAB318D"/>
    <w:rsid w:val="DEBBFC1C"/>
    <w:rsid w:val="DEDB7139"/>
    <w:rsid w:val="DEDF4064"/>
    <w:rsid w:val="DEE7CE72"/>
    <w:rsid w:val="DEF51904"/>
    <w:rsid w:val="DEF7DD4A"/>
    <w:rsid w:val="DEFBBF33"/>
    <w:rsid w:val="DEFD60EB"/>
    <w:rsid w:val="DEFF28B9"/>
    <w:rsid w:val="DEFF591D"/>
    <w:rsid w:val="DF3FFB49"/>
    <w:rsid w:val="DF452D61"/>
    <w:rsid w:val="DF5DDDA9"/>
    <w:rsid w:val="DF5F0FDC"/>
    <w:rsid w:val="DF5FAA5A"/>
    <w:rsid w:val="DF5FCA0B"/>
    <w:rsid w:val="DF6F8B98"/>
    <w:rsid w:val="DF7750DE"/>
    <w:rsid w:val="DF77548B"/>
    <w:rsid w:val="DF7BACF5"/>
    <w:rsid w:val="DF7FC749"/>
    <w:rsid w:val="DF7FCD0E"/>
    <w:rsid w:val="DF8666F7"/>
    <w:rsid w:val="DF9BCBD6"/>
    <w:rsid w:val="DF9C9523"/>
    <w:rsid w:val="DFB75D1D"/>
    <w:rsid w:val="DFB78D0A"/>
    <w:rsid w:val="DFC71B06"/>
    <w:rsid w:val="DFD7A974"/>
    <w:rsid w:val="DFDBE12A"/>
    <w:rsid w:val="DFDFB220"/>
    <w:rsid w:val="DFDFF9D7"/>
    <w:rsid w:val="DFEBF697"/>
    <w:rsid w:val="DFECE2CB"/>
    <w:rsid w:val="DFEEBE17"/>
    <w:rsid w:val="DFF22751"/>
    <w:rsid w:val="DFF7A453"/>
    <w:rsid w:val="DFFA58B6"/>
    <w:rsid w:val="DFFA69F8"/>
    <w:rsid w:val="DFFDDC10"/>
    <w:rsid w:val="DFFE07E6"/>
    <w:rsid w:val="DFFF17FD"/>
    <w:rsid w:val="DFFF4332"/>
    <w:rsid w:val="DFFF57CD"/>
    <w:rsid w:val="DFFF5DEA"/>
    <w:rsid w:val="DFFF6285"/>
    <w:rsid w:val="DFFFDBB6"/>
    <w:rsid w:val="E1F7F6A7"/>
    <w:rsid w:val="E2E848AC"/>
    <w:rsid w:val="E2FD003B"/>
    <w:rsid w:val="E35C5A40"/>
    <w:rsid w:val="E37BD875"/>
    <w:rsid w:val="E37F0F14"/>
    <w:rsid w:val="E38F2935"/>
    <w:rsid w:val="E39B9EE4"/>
    <w:rsid w:val="E3CF60FD"/>
    <w:rsid w:val="E3F5E3F2"/>
    <w:rsid w:val="E3FAABE1"/>
    <w:rsid w:val="E3FEF34D"/>
    <w:rsid w:val="E3FFC3DE"/>
    <w:rsid w:val="E4EFBB6D"/>
    <w:rsid w:val="E4F7C05E"/>
    <w:rsid w:val="E53A5D26"/>
    <w:rsid w:val="E53B45C9"/>
    <w:rsid w:val="E5781D00"/>
    <w:rsid w:val="E57FEDB5"/>
    <w:rsid w:val="E5F7EE53"/>
    <w:rsid w:val="E5FAC689"/>
    <w:rsid w:val="E675633F"/>
    <w:rsid w:val="E67B4D50"/>
    <w:rsid w:val="E67F66FD"/>
    <w:rsid w:val="E6BF249D"/>
    <w:rsid w:val="E6DE556C"/>
    <w:rsid w:val="E6DF79C8"/>
    <w:rsid w:val="E726CCE1"/>
    <w:rsid w:val="E73F9D20"/>
    <w:rsid w:val="E77B084E"/>
    <w:rsid w:val="E77E65C4"/>
    <w:rsid w:val="E7B9C9F3"/>
    <w:rsid w:val="E7C8D813"/>
    <w:rsid w:val="E7D1A8D9"/>
    <w:rsid w:val="E7DF66D7"/>
    <w:rsid w:val="E7DF7394"/>
    <w:rsid w:val="E7F5CA1A"/>
    <w:rsid w:val="E7FD22B7"/>
    <w:rsid w:val="E7FD8680"/>
    <w:rsid w:val="E87BF329"/>
    <w:rsid w:val="E8BB2E5B"/>
    <w:rsid w:val="E8FD73B7"/>
    <w:rsid w:val="E8FF40E5"/>
    <w:rsid w:val="E91F6817"/>
    <w:rsid w:val="E999AB26"/>
    <w:rsid w:val="E9BF31A5"/>
    <w:rsid w:val="EA396202"/>
    <w:rsid w:val="EA71722B"/>
    <w:rsid w:val="EA7EF995"/>
    <w:rsid w:val="EA7F0E22"/>
    <w:rsid w:val="EAE6221C"/>
    <w:rsid w:val="EB3F28F1"/>
    <w:rsid w:val="EB5BCD9F"/>
    <w:rsid w:val="EB6E5CF9"/>
    <w:rsid w:val="EB9F49D4"/>
    <w:rsid w:val="EBA359D1"/>
    <w:rsid w:val="EBBD4FBB"/>
    <w:rsid w:val="EBCCD609"/>
    <w:rsid w:val="EBD9C14E"/>
    <w:rsid w:val="EBDBE0B2"/>
    <w:rsid w:val="EBDE1EA2"/>
    <w:rsid w:val="EBDE2363"/>
    <w:rsid w:val="EBF36B6A"/>
    <w:rsid w:val="EBF72F58"/>
    <w:rsid w:val="EBF93819"/>
    <w:rsid w:val="EBFB0753"/>
    <w:rsid w:val="EBFCD55B"/>
    <w:rsid w:val="EBFEBCDF"/>
    <w:rsid w:val="EBFEC1F2"/>
    <w:rsid w:val="EBFF0A9E"/>
    <w:rsid w:val="EBFFA90C"/>
    <w:rsid w:val="ECAC1C0F"/>
    <w:rsid w:val="ECB65917"/>
    <w:rsid w:val="ECD701DC"/>
    <w:rsid w:val="ECDA8B5C"/>
    <w:rsid w:val="ECEFAA43"/>
    <w:rsid w:val="ECF6495A"/>
    <w:rsid w:val="ECFEEAD1"/>
    <w:rsid w:val="ED3CC910"/>
    <w:rsid w:val="ED5B60B7"/>
    <w:rsid w:val="ED6DC1D1"/>
    <w:rsid w:val="ED779348"/>
    <w:rsid w:val="ED7F0A14"/>
    <w:rsid w:val="EDA77140"/>
    <w:rsid w:val="EDA935A7"/>
    <w:rsid w:val="EDBB30BC"/>
    <w:rsid w:val="EDD2FCCB"/>
    <w:rsid w:val="EDD9C4AF"/>
    <w:rsid w:val="EDDF66BE"/>
    <w:rsid w:val="EDE716C5"/>
    <w:rsid w:val="EDFAD5F6"/>
    <w:rsid w:val="EDFB8705"/>
    <w:rsid w:val="EDFD97AB"/>
    <w:rsid w:val="EE374FA0"/>
    <w:rsid w:val="EE5B8CCE"/>
    <w:rsid w:val="EEA19AE8"/>
    <w:rsid w:val="EEBE2D40"/>
    <w:rsid w:val="EEBF169C"/>
    <w:rsid w:val="EEBFD490"/>
    <w:rsid w:val="EEEB71AB"/>
    <w:rsid w:val="EEED0BE9"/>
    <w:rsid w:val="EEEEAA07"/>
    <w:rsid w:val="EEEFD6B6"/>
    <w:rsid w:val="EEFA72E3"/>
    <w:rsid w:val="EEFB2CC9"/>
    <w:rsid w:val="EEFC5384"/>
    <w:rsid w:val="EEFE6C91"/>
    <w:rsid w:val="EEFFE9F2"/>
    <w:rsid w:val="EF273C47"/>
    <w:rsid w:val="EF2D3B25"/>
    <w:rsid w:val="EF2EF39E"/>
    <w:rsid w:val="EF2F2757"/>
    <w:rsid w:val="EF36783C"/>
    <w:rsid w:val="EF3A7B95"/>
    <w:rsid w:val="EF4B6A8E"/>
    <w:rsid w:val="EF70C314"/>
    <w:rsid w:val="EF77C663"/>
    <w:rsid w:val="EF7F83DD"/>
    <w:rsid w:val="EF7FAA7B"/>
    <w:rsid w:val="EF97CCAD"/>
    <w:rsid w:val="EFB74358"/>
    <w:rsid w:val="EFBC0886"/>
    <w:rsid w:val="EFBC3905"/>
    <w:rsid w:val="EFBE8688"/>
    <w:rsid w:val="EFBFB777"/>
    <w:rsid w:val="EFBFEF38"/>
    <w:rsid w:val="EFCB1A41"/>
    <w:rsid w:val="EFDE255F"/>
    <w:rsid w:val="EFDF789C"/>
    <w:rsid w:val="EFDF7D92"/>
    <w:rsid w:val="EFE150A2"/>
    <w:rsid w:val="EFE7144A"/>
    <w:rsid w:val="EFF33B51"/>
    <w:rsid w:val="EFF40584"/>
    <w:rsid w:val="EFF562F0"/>
    <w:rsid w:val="EFFA86E4"/>
    <w:rsid w:val="EFFB0419"/>
    <w:rsid w:val="EFFB136A"/>
    <w:rsid w:val="EFFB74D9"/>
    <w:rsid w:val="EFFC8444"/>
    <w:rsid w:val="EFFD0CE4"/>
    <w:rsid w:val="EFFE2395"/>
    <w:rsid w:val="EFFE3242"/>
    <w:rsid w:val="EFFF8C2E"/>
    <w:rsid w:val="EFFFA0AB"/>
    <w:rsid w:val="EFFFAE4D"/>
    <w:rsid w:val="EFFFD2C7"/>
    <w:rsid w:val="F0536D57"/>
    <w:rsid w:val="F0B1C183"/>
    <w:rsid w:val="F0F6C22F"/>
    <w:rsid w:val="F19F3723"/>
    <w:rsid w:val="F1AFE1A7"/>
    <w:rsid w:val="F1BC1965"/>
    <w:rsid w:val="F1BD9C9E"/>
    <w:rsid w:val="F1CFE144"/>
    <w:rsid w:val="F1DB3147"/>
    <w:rsid w:val="F1F9B862"/>
    <w:rsid w:val="F26FF438"/>
    <w:rsid w:val="F27610E2"/>
    <w:rsid w:val="F2D44052"/>
    <w:rsid w:val="F2DFD2CC"/>
    <w:rsid w:val="F2FD91E2"/>
    <w:rsid w:val="F2FF3B2B"/>
    <w:rsid w:val="F2FFAF80"/>
    <w:rsid w:val="F35F7D1E"/>
    <w:rsid w:val="F37B9B7F"/>
    <w:rsid w:val="F3933022"/>
    <w:rsid w:val="F397B087"/>
    <w:rsid w:val="F3B3C724"/>
    <w:rsid w:val="F3B4ED35"/>
    <w:rsid w:val="F3CE8F45"/>
    <w:rsid w:val="F3D7D7F7"/>
    <w:rsid w:val="F3E6BC8F"/>
    <w:rsid w:val="F3F7AAA5"/>
    <w:rsid w:val="F3FFEFC1"/>
    <w:rsid w:val="F4AD3CD1"/>
    <w:rsid w:val="F4DD80E0"/>
    <w:rsid w:val="F4ED1E28"/>
    <w:rsid w:val="F4F773F0"/>
    <w:rsid w:val="F4FB71B3"/>
    <w:rsid w:val="F52F2878"/>
    <w:rsid w:val="F57653B5"/>
    <w:rsid w:val="F58EC5CB"/>
    <w:rsid w:val="F5B30E96"/>
    <w:rsid w:val="F5D37835"/>
    <w:rsid w:val="F5EA2262"/>
    <w:rsid w:val="F5F05359"/>
    <w:rsid w:val="F5FC206D"/>
    <w:rsid w:val="F5FEC823"/>
    <w:rsid w:val="F5FF641F"/>
    <w:rsid w:val="F5FFB8CC"/>
    <w:rsid w:val="F5FFE3E2"/>
    <w:rsid w:val="F5FFF8F7"/>
    <w:rsid w:val="F6279BB3"/>
    <w:rsid w:val="F6471E03"/>
    <w:rsid w:val="F67EF1E4"/>
    <w:rsid w:val="F69B8342"/>
    <w:rsid w:val="F6E947AE"/>
    <w:rsid w:val="F6EFAFDD"/>
    <w:rsid w:val="F6F77F6B"/>
    <w:rsid w:val="F6FD4D9D"/>
    <w:rsid w:val="F6FF1F3C"/>
    <w:rsid w:val="F6FFA5EF"/>
    <w:rsid w:val="F74F04A5"/>
    <w:rsid w:val="F75BD683"/>
    <w:rsid w:val="F75CB06E"/>
    <w:rsid w:val="F765502B"/>
    <w:rsid w:val="F76D75E4"/>
    <w:rsid w:val="F76F7B23"/>
    <w:rsid w:val="F779B2DF"/>
    <w:rsid w:val="F77A15C9"/>
    <w:rsid w:val="F77C30DF"/>
    <w:rsid w:val="F77F3F81"/>
    <w:rsid w:val="F797C2F0"/>
    <w:rsid w:val="F79E48BA"/>
    <w:rsid w:val="F79E5F20"/>
    <w:rsid w:val="F79F48C6"/>
    <w:rsid w:val="F79FEC5B"/>
    <w:rsid w:val="F7A3F72C"/>
    <w:rsid w:val="F7AF087A"/>
    <w:rsid w:val="F7AFB1C5"/>
    <w:rsid w:val="F7B119AD"/>
    <w:rsid w:val="F7B227EE"/>
    <w:rsid w:val="F7B53510"/>
    <w:rsid w:val="F7BC69CD"/>
    <w:rsid w:val="F7BF9668"/>
    <w:rsid w:val="F7BFB0AC"/>
    <w:rsid w:val="F7DEEEC6"/>
    <w:rsid w:val="F7DF2BE1"/>
    <w:rsid w:val="F7DF9C02"/>
    <w:rsid w:val="F7E74B0A"/>
    <w:rsid w:val="F7EE1831"/>
    <w:rsid w:val="F7F00351"/>
    <w:rsid w:val="F7F3040F"/>
    <w:rsid w:val="F7F3AD18"/>
    <w:rsid w:val="F7F5049C"/>
    <w:rsid w:val="F7F69617"/>
    <w:rsid w:val="F7F77393"/>
    <w:rsid w:val="F7F7F44D"/>
    <w:rsid w:val="F7FB8346"/>
    <w:rsid w:val="F7FBBB67"/>
    <w:rsid w:val="F7FC2484"/>
    <w:rsid w:val="F7FD4CEE"/>
    <w:rsid w:val="F7FEC02F"/>
    <w:rsid w:val="F7FF0C8D"/>
    <w:rsid w:val="F7FF69F0"/>
    <w:rsid w:val="F7FF96A2"/>
    <w:rsid w:val="F7FFE675"/>
    <w:rsid w:val="F7FFFD47"/>
    <w:rsid w:val="F8165028"/>
    <w:rsid w:val="F8BB6043"/>
    <w:rsid w:val="F8DD8FF2"/>
    <w:rsid w:val="F8ED8A3D"/>
    <w:rsid w:val="F8EFCFCC"/>
    <w:rsid w:val="F8F745DE"/>
    <w:rsid w:val="F955BCA8"/>
    <w:rsid w:val="F95F1CF1"/>
    <w:rsid w:val="F97FDD31"/>
    <w:rsid w:val="F99F46CD"/>
    <w:rsid w:val="F9A7D231"/>
    <w:rsid w:val="F9AFFF49"/>
    <w:rsid w:val="F9B74E2F"/>
    <w:rsid w:val="F9D612D3"/>
    <w:rsid w:val="F9D6AF7C"/>
    <w:rsid w:val="F9DDA769"/>
    <w:rsid w:val="F9EA7989"/>
    <w:rsid w:val="F9ED2BF8"/>
    <w:rsid w:val="F9F5855A"/>
    <w:rsid w:val="F9F6C261"/>
    <w:rsid w:val="F9FB8808"/>
    <w:rsid w:val="F9FD1315"/>
    <w:rsid w:val="FAAAD94D"/>
    <w:rsid w:val="FADB2C5A"/>
    <w:rsid w:val="FAEBC600"/>
    <w:rsid w:val="FAF35AEF"/>
    <w:rsid w:val="FAFC5E5F"/>
    <w:rsid w:val="FAFD82EB"/>
    <w:rsid w:val="FAFE1051"/>
    <w:rsid w:val="FAFF683C"/>
    <w:rsid w:val="FAFF8A5E"/>
    <w:rsid w:val="FAFFC7B0"/>
    <w:rsid w:val="FB1F8DA0"/>
    <w:rsid w:val="FB5EEEA1"/>
    <w:rsid w:val="FB6B546C"/>
    <w:rsid w:val="FB6FA54A"/>
    <w:rsid w:val="FB7B225F"/>
    <w:rsid w:val="FB7E07AB"/>
    <w:rsid w:val="FB7F1F91"/>
    <w:rsid w:val="FB7F33EE"/>
    <w:rsid w:val="FB7F3876"/>
    <w:rsid w:val="FB7F492B"/>
    <w:rsid w:val="FB7F5295"/>
    <w:rsid w:val="FB7FD4B3"/>
    <w:rsid w:val="FB9DF123"/>
    <w:rsid w:val="FB9F5DDE"/>
    <w:rsid w:val="FB9FDBE6"/>
    <w:rsid w:val="FBB4F6D4"/>
    <w:rsid w:val="FBBB83BA"/>
    <w:rsid w:val="FBBD23AE"/>
    <w:rsid w:val="FBBE293A"/>
    <w:rsid w:val="FBBF8916"/>
    <w:rsid w:val="FBBF96CC"/>
    <w:rsid w:val="FBBFAF72"/>
    <w:rsid w:val="FBCAF085"/>
    <w:rsid w:val="FBDDA4B2"/>
    <w:rsid w:val="FBDDC22C"/>
    <w:rsid w:val="FBDEA97F"/>
    <w:rsid w:val="FBDF38A1"/>
    <w:rsid w:val="FBDF3920"/>
    <w:rsid w:val="FBDF6724"/>
    <w:rsid w:val="FBE53E82"/>
    <w:rsid w:val="FBE778BD"/>
    <w:rsid w:val="FBEAEFF6"/>
    <w:rsid w:val="FBEB4E62"/>
    <w:rsid w:val="FBEBED02"/>
    <w:rsid w:val="FBED6B10"/>
    <w:rsid w:val="FBEE568F"/>
    <w:rsid w:val="FBEF19FC"/>
    <w:rsid w:val="FBEF8E9D"/>
    <w:rsid w:val="FBF25ABD"/>
    <w:rsid w:val="FBFB0251"/>
    <w:rsid w:val="FBFE9DD5"/>
    <w:rsid w:val="FBFEA49F"/>
    <w:rsid w:val="FBFECA48"/>
    <w:rsid w:val="FBFF7926"/>
    <w:rsid w:val="FBFFE190"/>
    <w:rsid w:val="FC7F0AA5"/>
    <w:rsid w:val="FC9D5593"/>
    <w:rsid w:val="FCA9B50D"/>
    <w:rsid w:val="FCB1DFA7"/>
    <w:rsid w:val="FCBBC6C2"/>
    <w:rsid w:val="FCD304F1"/>
    <w:rsid w:val="FCDFEAA7"/>
    <w:rsid w:val="FCE53991"/>
    <w:rsid w:val="FCE93635"/>
    <w:rsid w:val="FCF365EB"/>
    <w:rsid w:val="FCFA4953"/>
    <w:rsid w:val="FCFB5246"/>
    <w:rsid w:val="FCFF790F"/>
    <w:rsid w:val="FCFFB406"/>
    <w:rsid w:val="FCFFB756"/>
    <w:rsid w:val="FD317F73"/>
    <w:rsid w:val="FD4D219A"/>
    <w:rsid w:val="FD4DC783"/>
    <w:rsid w:val="FD6F97EE"/>
    <w:rsid w:val="FD6FE336"/>
    <w:rsid w:val="FD76E953"/>
    <w:rsid w:val="FD77084F"/>
    <w:rsid w:val="FD77405D"/>
    <w:rsid w:val="FD7ACFB4"/>
    <w:rsid w:val="FD7E247B"/>
    <w:rsid w:val="FD7F3898"/>
    <w:rsid w:val="FD7F4E4A"/>
    <w:rsid w:val="FD7FC275"/>
    <w:rsid w:val="FD8FC74E"/>
    <w:rsid w:val="FD95C14F"/>
    <w:rsid w:val="FDAA8665"/>
    <w:rsid w:val="FDAB5E7B"/>
    <w:rsid w:val="FDAF77E1"/>
    <w:rsid w:val="FDB5FEEE"/>
    <w:rsid w:val="FDB736A0"/>
    <w:rsid w:val="FDBB5B22"/>
    <w:rsid w:val="FDBC5A23"/>
    <w:rsid w:val="FDBCB7E8"/>
    <w:rsid w:val="FDBD19D8"/>
    <w:rsid w:val="FDBE12BE"/>
    <w:rsid w:val="FDBF1784"/>
    <w:rsid w:val="FDBFC7CE"/>
    <w:rsid w:val="FDBFE6A7"/>
    <w:rsid w:val="FDC985DD"/>
    <w:rsid w:val="FDDB5C3A"/>
    <w:rsid w:val="FDDBDD2F"/>
    <w:rsid w:val="FDDD28BC"/>
    <w:rsid w:val="FDDF1EE0"/>
    <w:rsid w:val="FDE3CD28"/>
    <w:rsid w:val="FDE78B6F"/>
    <w:rsid w:val="FDEBEF51"/>
    <w:rsid w:val="FDEDD016"/>
    <w:rsid w:val="FDEF3FC9"/>
    <w:rsid w:val="FDEFB85C"/>
    <w:rsid w:val="FDF1C8E1"/>
    <w:rsid w:val="FDF8F67B"/>
    <w:rsid w:val="FDF91F12"/>
    <w:rsid w:val="FDFD04C7"/>
    <w:rsid w:val="FDFD2CA3"/>
    <w:rsid w:val="FDFDC9F2"/>
    <w:rsid w:val="FDFDCE55"/>
    <w:rsid w:val="FDFDE510"/>
    <w:rsid w:val="FDFF0289"/>
    <w:rsid w:val="FDFF0609"/>
    <w:rsid w:val="FDFF1CDA"/>
    <w:rsid w:val="FDFF960A"/>
    <w:rsid w:val="FDFFD945"/>
    <w:rsid w:val="FE050898"/>
    <w:rsid w:val="FE333E40"/>
    <w:rsid w:val="FE5F0EB1"/>
    <w:rsid w:val="FE5FA376"/>
    <w:rsid w:val="FE5FB08C"/>
    <w:rsid w:val="FE6B4A3D"/>
    <w:rsid w:val="FE74F899"/>
    <w:rsid w:val="FE771D69"/>
    <w:rsid w:val="FE7F3099"/>
    <w:rsid w:val="FE7F3A88"/>
    <w:rsid w:val="FE7FED04"/>
    <w:rsid w:val="FE875202"/>
    <w:rsid w:val="FE87DEAC"/>
    <w:rsid w:val="FEA9FB46"/>
    <w:rsid w:val="FEAB7D0F"/>
    <w:rsid w:val="FEAE069E"/>
    <w:rsid w:val="FEB6C33D"/>
    <w:rsid w:val="FEBB9F6A"/>
    <w:rsid w:val="FEBE5258"/>
    <w:rsid w:val="FEBF4EA6"/>
    <w:rsid w:val="FEBF7275"/>
    <w:rsid w:val="FEBF8EF9"/>
    <w:rsid w:val="FEC9C625"/>
    <w:rsid w:val="FECE3F4E"/>
    <w:rsid w:val="FECF8BB7"/>
    <w:rsid w:val="FED25DEA"/>
    <w:rsid w:val="FED7D2D6"/>
    <w:rsid w:val="FED7F028"/>
    <w:rsid w:val="FEDF8630"/>
    <w:rsid w:val="FEDFF52A"/>
    <w:rsid w:val="FEE527BF"/>
    <w:rsid w:val="FEE59575"/>
    <w:rsid w:val="FEE9115B"/>
    <w:rsid w:val="FEEC1F94"/>
    <w:rsid w:val="FEEEFD56"/>
    <w:rsid w:val="FEEF1ABE"/>
    <w:rsid w:val="FEEF2ED0"/>
    <w:rsid w:val="FEEFB614"/>
    <w:rsid w:val="FEF34418"/>
    <w:rsid w:val="FEF70F86"/>
    <w:rsid w:val="FEF72A38"/>
    <w:rsid w:val="FEF78011"/>
    <w:rsid w:val="FEFABD73"/>
    <w:rsid w:val="FEFAFDC0"/>
    <w:rsid w:val="FEFB69A8"/>
    <w:rsid w:val="FEFC9C94"/>
    <w:rsid w:val="FEFD63A9"/>
    <w:rsid w:val="FEFDCD41"/>
    <w:rsid w:val="FEFE2F53"/>
    <w:rsid w:val="FEFEDE2E"/>
    <w:rsid w:val="FEFF8336"/>
    <w:rsid w:val="FEFF836B"/>
    <w:rsid w:val="FEFF866B"/>
    <w:rsid w:val="FEFF9E96"/>
    <w:rsid w:val="FF14E6DA"/>
    <w:rsid w:val="FF1E2E54"/>
    <w:rsid w:val="FF1FA778"/>
    <w:rsid w:val="FF2785FE"/>
    <w:rsid w:val="FF2F8039"/>
    <w:rsid w:val="FF3BCD30"/>
    <w:rsid w:val="FF3D42F6"/>
    <w:rsid w:val="FF3DF780"/>
    <w:rsid w:val="FF3EBCC1"/>
    <w:rsid w:val="FF3F03EF"/>
    <w:rsid w:val="FF3F5BDA"/>
    <w:rsid w:val="FF3FB510"/>
    <w:rsid w:val="FF3FDD89"/>
    <w:rsid w:val="FF462F5E"/>
    <w:rsid w:val="FF552BA6"/>
    <w:rsid w:val="FF5AD76F"/>
    <w:rsid w:val="FF5D6E49"/>
    <w:rsid w:val="FF6B2AC2"/>
    <w:rsid w:val="FF6BEB4B"/>
    <w:rsid w:val="FF6EC003"/>
    <w:rsid w:val="FF6F9BFB"/>
    <w:rsid w:val="FF745FCB"/>
    <w:rsid w:val="FF770191"/>
    <w:rsid w:val="FF7774E3"/>
    <w:rsid w:val="FF7AC9DF"/>
    <w:rsid w:val="FF7B5B0A"/>
    <w:rsid w:val="FF7BDC0E"/>
    <w:rsid w:val="FF7C4A96"/>
    <w:rsid w:val="FF7D37AA"/>
    <w:rsid w:val="FF7EC91F"/>
    <w:rsid w:val="FF7EF7C3"/>
    <w:rsid w:val="FF7F2ABC"/>
    <w:rsid w:val="FF7FAD11"/>
    <w:rsid w:val="FF7FD54F"/>
    <w:rsid w:val="FF87104A"/>
    <w:rsid w:val="FF8D6D0C"/>
    <w:rsid w:val="FF915CCB"/>
    <w:rsid w:val="FF952D31"/>
    <w:rsid w:val="FF974DF3"/>
    <w:rsid w:val="FF97A9BC"/>
    <w:rsid w:val="FF9B0708"/>
    <w:rsid w:val="FF9EEFA3"/>
    <w:rsid w:val="FF9F4C4F"/>
    <w:rsid w:val="FFAFD857"/>
    <w:rsid w:val="FFB348E3"/>
    <w:rsid w:val="FFB3D076"/>
    <w:rsid w:val="FFB7E311"/>
    <w:rsid w:val="FFB91AFA"/>
    <w:rsid w:val="FFBAB542"/>
    <w:rsid w:val="FFBBDDCF"/>
    <w:rsid w:val="FFBD9D90"/>
    <w:rsid w:val="FFBDE475"/>
    <w:rsid w:val="FFBF0DE3"/>
    <w:rsid w:val="FFBF216A"/>
    <w:rsid w:val="FFBF2BA4"/>
    <w:rsid w:val="FFBF8968"/>
    <w:rsid w:val="FFBFA472"/>
    <w:rsid w:val="FFC4EE4C"/>
    <w:rsid w:val="FFCB41BB"/>
    <w:rsid w:val="FFCBC27C"/>
    <w:rsid w:val="FFCD7212"/>
    <w:rsid w:val="FFCE37CE"/>
    <w:rsid w:val="FFCF5243"/>
    <w:rsid w:val="FFCF7A10"/>
    <w:rsid w:val="FFCF7B45"/>
    <w:rsid w:val="FFD332B2"/>
    <w:rsid w:val="FFD336CE"/>
    <w:rsid w:val="FFD3443D"/>
    <w:rsid w:val="FFD39E2C"/>
    <w:rsid w:val="FFD5D2DC"/>
    <w:rsid w:val="FFD5FD0F"/>
    <w:rsid w:val="FFD723D7"/>
    <w:rsid w:val="FFD7EDC4"/>
    <w:rsid w:val="FFD98B23"/>
    <w:rsid w:val="FFDA4305"/>
    <w:rsid w:val="FFDA73C6"/>
    <w:rsid w:val="FFDD1A77"/>
    <w:rsid w:val="FFDD49CA"/>
    <w:rsid w:val="FFDD7420"/>
    <w:rsid w:val="FFDD93B4"/>
    <w:rsid w:val="FFDE4754"/>
    <w:rsid w:val="FFDF3E5B"/>
    <w:rsid w:val="FFDF8C77"/>
    <w:rsid w:val="FFDFAF90"/>
    <w:rsid w:val="FFDFC767"/>
    <w:rsid w:val="FFDFEF62"/>
    <w:rsid w:val="FFE3A1D9"/>
    <w:rsid w:val="FFE56806"/>
    <w:rsid w:val="FFE614E7"/>
    <w:rsid w:val="FFE63563"/>
    <w:rsid w:val="FFE6F664"/>
    <w:rsid w:val="FFE7A2FF"/>
    <w:rsid w:val="FFE7BCD2"/>
    <w:rsid w:val="FFE95A6B"/>
    <w:rsid w:val="FFE9CE75"/>
    <w:rsid w:val="FFEA0F48"/>
    <w:rsid w:val="FFEA65BD"/>
    <w:rsid w:val="FFEBB433"/>
    <w:rsid w:val="FFEBB74B"/>
    <w:rsid w:val="FFEC2C44"/>
    <w:rsid w:val="FFEC3D13"/>
    <w:rsid w:val="FFEDE120"/>
    <w:rsid w:val="FFEE7C3A"/>
    <w:rsid w:val="FFEE8763"/>
    <w:rsid w:val="FFEF3FCD"/>
    <w:rsid w:val="FFEF6A2D"/>
    <w:rsid w:val="FFEFED86"/>
    <w:rsid w:val="FFF25DED"/>
    <w:rsid w:val="FFF30FEB"/>
    <w:rsid w:val="FFF34795"/>
    <w:rsid w:val="FFF4668B"/>
    <w:rsid w:val="FFF50749"/>
    <w:rsid w:val="FFF573E5"/>
    <w:rsid w:val="FFF6949C"/>
    <w:rsid w:val="FFF79AC6"/>
    <w:rsid w:val="FFF7C80F"/>
    <w:rsid w:val="FFF7CBDA"/>
    <w:rsid w:val="FFF7DEBC"/>
    <w:rsid w:val="FFF7ED49"/>
    <w:rsid w:val="FFF8D3FC"/>
    <w:rsid w:val="FFF9092C"/>
    <w:rsid w:val="FFF97A75"/>
    <w:rsid w:val="FFF9ED21"/>
    <w:rsid w:val="FFFA1B84"/>
    <w:rsid w:val="FFFB3D02"/>
    <w:rsid w:val="FFFB3F1E"/>
    <w:rsid w:val="FFFB718B"/>
    <w:rsid w:val="FFFBD061"/>
    <w:rsid w:val="FFFBEC13"/>
    <w:rsid w:val="FFFCAC75"/>
    <w:rsid w:val="FFFD1CAC"/>
    <w:rsid w:val="FFFDC739"/>
    <w:rsid w:val="FFFE412C"/>
    <w:rsid w:val="FFFEB08F"/>
    <w:rsid w:val="FFFED637"/>
    <w:rsid w:val="FFFF2EC9"/>
    <w:rsid w:val="FFFF3BBF"/>
    <w:rsid w:val="FFFF3D57"/>
    <w:rsid w:val="FFFF7A4E"/>
    <w:rsid w:val="FFFF7BD9"/>
    <w:rsid w:val="FFFF7E23"/>
    <w:rsid w:val="FFFF83D4"/>
    <w:rsid w:val="FFFF9079"/>
    <w:rsid w:val="FFFF9F40"/>
    <w:rsid w:val="FFFFB76D"/>
    <w:rsid w:val="FFFFE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13"/>
    <w:qFormat/>
    <w:uiPriority w:val="0"/>
    <w:pPr>
      <w:keepNext/>
      <w:keepLines/>
      <w:widowControl w:val="0"/>
      <w:adjustRightInd/>
      <w:snapToGrid/>
      <w:spacing w:before="340" w:after="330" w:line="578" w:lineRule="auto"/>
      <w:jc w:val="left"/>
      <w:outlineLvl w:val="0"/>
    </w:pPr>
    <w:rPr>
      <w:rFonts w:ascii="Calibri" w:hAnsi="Calibri" w:eastAsia="宋体" w:cs="宋体"/>
      <w:b/>
      <w:bCs/>
      <w:kern w:val="44"/>
      <w:sz w:val="32"/>
      <w:szCs w:val="32"/>
    </w:rPr>
  </w:style>
  <w:style w:type="paragraph" w:styleId="4">
    <w:name w:val="heading 2"/>
    <w:basedOn w:val="1"/>
    <w:next w:val="1"/>
    <w:link w:val="14"/>
    <w:semiHidden/>
    <w:unhideWhenUsed/>
    <w:qFormat/>
    <w:uiPriority w:val="0"/>
    <w:pPr>
      <w:keepNext/>
      <w:keepLines/>
      <w:spacing w:line="360" w:lineRule="auto"/>
      <w:jc w:val="left"/>
      <w:outlineLvl w:val="1"/>
    </w:pPr>
    <w:rPr>
      <w:rFonts w:ascii="Cambria" w:hAnsi="Cambria" w:eastAsia="宋体" w:cs="Times New Roman"/>
      <w:b/>
      <w:bCs/>
      <w:kern w:val="0"/>
      <w:sz w:val="32"/>
      <w:szCs w:val="32"/>
    </w:rPr>
  </w:style>
  <w:style w:type="paragraph" w:styleId="5">
    <w:name w:val="heading 3"/>
    <w:basedOn w:val="1"/>
    <w:next w:val="1"/>
    <w:link w:val="15"/>
    <w:semiHidden/>
    <w:unhideWhenUsed/>
    <w:qFormat/>
    <w:uiPriority w:val="0"/>
    <w:pPr>
      <w:keepNext/>
      <w:keepLines/>
      <w:spacing w:before="260" w:after="260" w:line="416" w:lineRule="auto"/>
      <w:outlineLvl w:val="2"/>
    </w:pPr>
    <w:rPr>
      <w:rFonts w:ascii="Times New Roman" w:hAnsi="Times New Roman" w:eastAsia="宋体" w:cs="Times New Roman"/>
      <w:bCs/>
      <w:sz w:val="28"/>
    </w:rPr>
  </w:style>
  <w:style w:type="character" w:default="1" w:styleId="10">
    <w:name w:val="Default Paragraph Font"/>
    <w:link w:val="11"/>
    <w:qFormat/>
    <w:uiPriority w:val="0"/>
    <w:rPr>
      <w:rFonts w:ascii="Times New Roman" w:hAnsi="Times New Roman" w:cs="Times New Roman"/>
      <w:szCs w:val="24"/>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12" w:lineRule="atLeast"/>
      <w:ind w:firstLine="420"/>
      <w:textAlignment w:val="baseline"/>
    </w:pPr>
    <w:rPr>
      <w:kern w:val="0"/>
      <w:sz w:val="20"/>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pPr>
  </w:style>
  <w:style w:type="paragraph" w:customStyle="1" w:styleId="11">
    <w:name w:val="_Style 130"/>
    <w:basedOn w:val="1"/>
    <w:link w:val="10"/>
    <w:qFormat/>
    <w:uiPriority w:val="0"/>
    <w:pPr>
      <w:widowControl/>
      <w:jc w:val="left"/>
    </w:pPr>
    <w:rPr>
      <w:rFonts w:ascii="Times New Roman" w:hAnsi="Times New Roman" w:cs="Times New Roman"/>
      <w:szCs w:val="24"/>
    </w:rPr>
  </w:style>
  <w:style w:type="character" w:styleId="12">
    <w:name w:val="Strong"/>
    <w:basedOn w:val="10"/>
    <w:qFormat/>
    <w:uiPriority w:val="0"/>
    <w:rPr>
      <w:b/>
    </w:rPr>
  </w:style>
  <w:style w:type="character" w:customStyle="1" w:styleId="13">
    <w:name w:val="标题 1 Char"/>
    <w:link w:val="3"/>
    <w:qFormat/>
    <w:uiPriority w:val="0"/>
    <w:rPr>
      <w:rFonts w:ascii="Calibri" w:hAnsi="Calibri" w:eastAsia="宋体" w:cs="宋体"/>
      <w:b/>
      <w:bCs/>
      <w:kern w:val="44"/>
      <w:sz w:val="44"/>
      <w:szCs w:val="32"/>
    </w:rPr>
  </w:style>
  <w:style w:type="character" w:customStyle="1" w:styleId="14">
    <w:name w:val="标题 2 Char"/>
    <w:link w:val="4"/>
    <w:qFormat/>
    <w:uiPriority w:val="0"/>
    <w:rPr>
      <w:rFonts w:ascii="Cambria" w:hAnsi="Cambria" w:eastAsia="宋体" w:cs="Times New Roman"/>
      <w:b/>
      <w:bCs/>
      <w:kern w:val="0"/>
      <w:sz w:val="32"/>
      <w:szCs w:val="32"/>
    </w:rPr>
  </w:style>
  <w:style w:type="character" w:customStyle="1" w:styleId="15">
    <w:name w:val="标题 3 Char"/>
    <w:basedOn w:val="10"/>
    <w:link w:val="5"/>
    <w:semiHidden/>
    <w:qFormat/>
    <w:uiPriority w:val="0"/>
    <w:rPr>
      <w:rFonts w:ascii="Times New Roman" w:hAnsi="Times New Roman" w:eastAsia="宋体" w:cs="Times New Roman"/>
      <w:bCs/>
      <w:sz w:val="28"/>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chart" Target="charts/chart10.xml"/><Relationship Id="rId13" Type="http://schemas.openxmlformats.org/officeDocument/2006/relationships/chart" Target="charts/chart9.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10.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package" Target="../embeddings/Workbook10.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package" Target="../embeddings/Workbook9.xlsx"/></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9.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按产业分组的需求人数占比</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255"/>
          <c:y val="0.129833333333333"/>
          <c:w val="0.945"/>
          <c:h val="0.760833333333333"/>
        </c:manualLayout>
      </c:layout>
      <c:pie3DChart>
        <c:varyColors val="1"/>
        <c:ser>
          <c:idx val="0"/>
          <c:order val="0"/>
          <c:tx>
            <c:strRef>
              <c:f>Sheet1!$B$1</c:f>
              <c:strCache>
                <c:ptCount val="1"/>
                <c:pt idx="0">
                  <c:v>需求人数</c:v>
                </c:pt>
              </c:strCache>
            </c:strRef>
          </c:tx>
          <c:spPr>
            <a:scene3d>
              <a:camera prst="orthographicFront"/>
              <a:lightRig rig="threePt" dir="t"/>
            </a:scene3d>
            <a:sp3d contourW="25400"/>
          </c:spPr>
          <c:explosion val="0"/>
          <c:dPt>
            <c:idx val="0"/>
            <c:bubble3D val="0"/>
            <c:spPr>
              <a:solidFill>
                <a:schemeClr val="accent2"/>
              </a:solidFill>
              <a:ln w="25400">
                <a:solidFill>
                  <a:schemeClr val="lt1"/>
                </a:solidFill>
              </a:ln>
              <a:effectLst/>
            </c:spPr>
          </c:dPt>
          <c:dPt>
            <c:idx val="1"/>
            <c:bubble3D val="0"/>
            <c:spPr>
              <a:solidFill>
                <a:schemeClr val="accent4"/>
              </a:solidFill>
              <a:ln w="25400">
                <a:solidFill>
                  <a:schemeClr val="lt1"/>
                </a:solidFill>
              </a:ln>
              <a:effectLst/>
            </c:spPr>
          </c:dPt>
          <c:dPt>
            <c:idx val="2"/>
            <c:bubble3D val="0"/>
            <c:spPr>
              <a:solidFill>
                <a:schemeClr val="accent6"/>
              </a:solidFill>
              <a:ln w="25400">
                <a:solidFill>
                  <a:schemeClr val="lt1"/>
                </a:solidFill>
              </a:ln>
              <a:effectLst/>
            </c:spPr>
          </c:dPt>
          <c:dLbls>
            <c:dLbl>
              <c:idx val="0"/>
              <c:layout>
                <c:manualLayout>
                  <c:x val="-0.0223566534150977"/>
                  <c:y val="-0.025517380273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第一产业, 305</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78717331656315"/>
                  <c:y val="0.07980774728868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第二产业, 2,521 </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119732349418135"/>
                  <c:y val="-0.31199911433919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第三产业, 8,724</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第一产业</c:v>
                </c:pt>
                <c:pt idx="1">
                  <c:v>第二产业</c:v>
                </c:pt>
                <c:pt idx="2">
                  <c:v>第三产业</c:v>
                </c:pt>
              </c:strCache>
            </c:strRef>
          </c:cat>
          <c:val>
            <c:numRef>
              <c:f>Sheet1!$B$2:$B$4</c:f>
              <c:numCache>
                <c:formatCode>#,##0</c:formatCode>
                <c:ptCount val="3"/>
                <c:pt idx="0">
                  <c:v>305</c:v>
                </c:pt>
                <c:pt idx="1">
                  <c:v>2521</c:v>
                </c:pt>
                <c:pt idx="2">
                  <c:v>8724</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按技术等级分组的供求人数</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需求人数 (人)</c:v>
                </c:pt>
              </c:strCache>
            </c:strRef>
          </c:tx>
          <c:spPr>
            <a:solidFill>
              <a:schemeClr val="accent1">
                <a:shade val="58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职业资格五级(初级技能)</c:v>
                </c:pt>
                <c:pt idx="1">
                  <c:v>职业资格四级(中级技能)</c:v>
                </c:pt>
                <c:pt idx="2">
                  <c:v>职业资格三级(高级技能)</c:v>
                </c:pt>
                <c:pt idx="3">
                  <c:v>职业资格二级(技师)</c:v>
                </c:pt>
                <c:pt idx="4">
                  <c:v>职业资格一级(高级技师)</c:v>
                </c:pt>
                <c:pt idx="5">
                  <c:v>初级专业技术职务</c:v>
                </c:pt>
                <c:pt idx="6">
                  <c:v>中级专业技术职务</c:v>
                </c:pt>
                <c:pt idx="7">
                  <c:v>高级专业技术职务</c:v>
                </c:pt>
                <c:pt idx="8">
                  <c:v>无技术等级或职称</c:v>
                </c:pt>
                <c:pt idx="9">
                  <c:v>无要求</c:v>
                </c:pt>
              </c:strCache>
            </c:strRef>
          </c:cat>
          <c:val>
            <c:numRef>
              <c:f>Sheet1!$B$2:$B$11</c:f>
              <c:numCache>
                <c:formatCode>#,##0</c:formatCode>
                <c:ptCount val="10"/>
                <c:pt idx="0">
                  <c:v>649</c:v>
                </c:pt>
                <c:pt idx="1">
                  <c:v>174</c:v>
                </c:pt>
                <c:pt idx="2">
                  <c:v>13</c:v>
                </c:pt>
                <c:pt idx="3">
                  <c:v>4</c:v>
                </c:pt>
                <c:pt idx="4">
                  <c:v>75</c:v>
                </c:pt>
                <c:pt idx="5">
                  <c:v>817</c:v>
                </c:pt>
                <c:pt idx="6">
                  <c:v>557</c:v>
                </c:pt>
                <c:pt idx="7">
                  <c:v>0</c:v>
                </c:pt>
                <c:pt idx="9">
                  <c:v>9261</c:v>
                </c:pt>
              </c:numCache>
            </c:numRef>
          </c:val>
        </c:ser>
        <c:ser>
          <c:idx val="2"/>
          <c:order val="2"/>
          <c:tx>
            <c:strRef>
              <c:f>Sheet1!$D$1</c:f>
              <c:strCache>
                <c:ptCount val="1"/>
                <c:pt idx="0">
                  <c:v>求职 人数 (人)</c:v>
                </c:pt>
              </c:strCache>
            </c:strRef>
          </c:tx>
          <c:spPr>
            <a:solidFill>
              <a:schemeClr val="accent1">
                <a:tint val="86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职业资格五级(初级技能)</c:v>
                </c:pt>
                <c:pt idx="1">
                  <c:v>职业资格四级(中级技能)</c:v>
                </c:pt>
                <c:pt idx="2">
                  <c:v>职业资格三级(高级技能)</c:v>
                </c:pt>
                <c:pt idx="3">
                  <c:v>职业资格二级(技师)</c:v>
                </c:pt>
                <c:pt idx="4">
                  <c:v>职业资格一级(高级技师)</c:v>
                </c:pt>
                <c:pt idx="5">
                  <c:v>初级专业技术职务</c:v>
                </c:pt>
                <c:pt idx="6">
                  <c:v>中级专业技术职务</c:v>
                </c:pt>
                <c:pt idx="7">
                  <c:v>高级专业技术职务</c:v>
                </c:pt>
                <c:pt idx="8">
                  <c:v>无技术等级或职称</c:v>
                </c:pt>
                <c:pt idx="9">
                  <c:v>无要求</c:v>
                </c:pt>
              </c:strCache>
            </c:strRef>
          </c:cat>
          <c:val>
            <c:numRef>
              <c:f>Sheet1!$D$2:$D$11</c:f>
              <c:numCache>
                <c:formatCode>#,##0</c:formatCode>
                <c:ptCount val="10"/>
                <c:pt idx="0">
                  <c:v>591</c:v>
                </c:pt>
                <c:pt idx="1">
                  <c:v>115</c:v>
                </c:pt>
                <c:pt idx="2">
                  <c:v>5</c:v>
                </c:pt>
                <c:pt idx="3">
                  <c:v>42</c:v>
                </c:pt>
                <c:pt idx="4">
                  <c:v>0</c:v>
                </c:pt>
                <c:pt idx="5">
                  <c:v>554</c:v>
                </c:pt>
                <c:pt idx="6">
                  <c:v>133</c:v>
                </c:pt>
                <c:pt idx="7">
                  <c:v>0</c:v>
                </c:pt>
                <c:pt idx="8">
                  <c:v>5795</c:v>
                </c:pt>
              </c:numCache>
            </c:numRef>
          </c:val>
        </c:ser>
        <c:dLbls>
          <c:showLegendKey val="0"/>
          <c:showVal val="1"/>
          <c:showCatName val="0"/>
          <c:showSerName val="0"/>
          <c:showPercent val="0"/>
          <c:showBubbleSize val="0"/>
        </c:dLbls>
        <c:gapWidth val="219"/>
        <c:overlap val="0"/>
        <c:axId val="166477199"/>
        <c:axId val="979403947"/>
      </c:barChart>
      <c:lineChart>
        <c:grouping val="standard"/>
        <c:varyColors val="0"/>
        <c:ser>
          <c:idx val="1"/>
          <c:order val="1"/>
          <c:tx>
            <c:strRef>
              <c:f>Sheet1!$C$1</c:f>
              <c:strCache>
                <c:ptCount val="1"/>
                <c:pt idx="0">
                  <c:v>需求比重(%)</c:v>
                </c:pt>
              </c:strCache>
            </c:strRef>
          </c:tx>
          <c:spPr>
            <a:ln w="28575" cap="rnd">
              <a:solidFill>
                <a:schemeClr val="accent1">
                  <a:shade val="86000"/>
                </a:schemeClr>
              </a:solidFill>
              <a:round/>
            </a:ln>
            <a:effectLst/>
          </c:spPr>
          <c:marker>
            <c:symbol val="none"/>
          </c:marker>
          <c:dLbls>
            <c:dLbl>
              <c:idx val="0"/>
              <c:layout>
                <c:manualLayout>
                  <c:x val="-0.0615006150061501"/>
                  <c:y val="0.053867700926524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38224156921027"/>
                  <c:y val="-0.048971051042302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32368744740079"/>
                  <c:y val="0.0304891187244128"/>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0433741179517058"/>
                      <c:h val="0.0328592975651799"/>
                    </c:manualLayout>
                  </c15:layout>
                </c:ext>
              </c:extLst>
            </c:dLbl>
            <c:dLbl>
              <c:idx val="3"/>
              <c:layout>
                <c:manualLayout>
                  <c:x val="-0.0409066904485955"/>
                  <c:y val="-0.064521366509767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45050818929242"/>
                  <c:y val="-0.096854126265891"/>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0523726289894478"/>
                      <c:h val="0.0613014436543848"/>
                    </c:manualLayout>
                  </c15:layout>
                </c:ext>
              </c:extLst>
            </c:dLbl>
            <c:dLbl>
              <c:idx val="5"/>
              <c:layout>
                <c:manualLayout>
                  <c:x val="0.00848208618820696"/>
                  <c:y val="-0.050312432665373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433842090595209"/>
                  <c:y val="-0.041616213115798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32368744740079"/>
                  <c:y val="-0.052143934496875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194212468440474"/>
                  <c:y val="0.039431157078215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0433741179517058"/>
                  <c:y val="-0.046649429002370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职业资格五级(初级技能)</c:v>
                </c:pt>
                <c:pt idx="1">
                  <c:v>职业资格四级(中级技能)</c:v>
                </c:pt>
                <c:pt idx="2">
                  <c:v>职业资格三级(高级技能)</c:v>
                </c:pt>
                <c:pt idx="3">
                  <c:v>职业资格二级(技师)</c:v>
                </c:pt>
                <c:pt idx="4">
                  <c:v>职业资格一级(高级技师)</c:v>
                </c:pt>
                <c:pt idx="5">
                  <c:v>初级专业技术职务</c:v>
                </c:pt>
                <c:pt idx="6">
                  <c:v>中级专业技术职务</c:v>
                </c:pt>
                <c:pt idx="7">
                  <c:v>高级专业技术职务</c:v>
                </c:pt>
                <c:pt idx="8">
                  <c:v>无技术等级或职称</c:v>
                </c:pt>
                <c:pt idx="9">
                  <c:v>无要求</c:v>
                </c:pt>
              </c:strCache>
            </c:strRef>
          </c:cat>
          <c:val>
            <c:numRef>
              <c:f>Sheet1!$C$2:$C$11</c:f>
              <c:numCache>
                <c:formatCode>#,##0.00</c:formatCode>
                <c:ptCount val="10"/>
                <c:pt idx="0">
                  <c:v>5.62</c:v>
                </c:pt>
                <c:pt idx="1">
                  <c:v>1.51</c:v>
                </c:pt>
                <c:pt idx="2">
                  <c:v>0.11</c:v>
                </c:pt>
                <c:pt idx="3">
                  <c:v>0.03</c:v>
                </c:pt>
                <c:pt idx="4">
                  <c:v>0.65</c:v>
                </c:pt>
                <c:pt idx="5">
                  <c:v>7.07</c:v>
                </c:pt>
                <c:pt idx="6">
                  <c:v>4.82</c:v>
                </c:pt>
                <c:pt idx="7">
                  <c:v>0</c:v>
                </c:pt>
                <c:pt idx="9">
                  <c:v>80.18</c:v>
                </c:pt>
              </c:numCache>
            </c:numRef>
          </c:val>
          <c:smooth val="0"/>
        </c:ser>
        <c:ser>
          <c:idx val="3"/>
          <c:order val="3"/>
          <c:tx>
            <c:strRef>
              <c:f>Sheet1!$E$1</c:f>
              <c:strCache>
                <c:ptCount val="1"/>
                <c:pt idx="0">
                  <c:v>求职 比重(%)</c:v>
                </c:pt>
              </c:strCache>
            </c:strRef>
          </c:tx>
          <c:spPr>
            <a:ln w="28575" cap="rnd">
              <a:solidFill>
                <a:schemeClr val="accent1">
                  <a:tint val="58000"/>
                </a:schemeClr>
              </a:solidFill>
              <a:round/>
            </a:ln>
            <a:effectLst/>
          </c:spPr>
          <c:marker>
            <c:symbol val="none"/>
          </c:marker>
          <c:dLbls>
            <c:dLbl>
              <c:idx val="0"/>
              <c:layout>
                <c:manualLayout>
                  <c:x val="0.0032368744740079"/>
                  <c:y val="-0.037707390648567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429474515761925"/>
                  <c:y val="0.0219719523779175"/>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054508966142293"/>
                      <c:h val="0.044063779357897"/>
                    </c:manualLayout>
                  </c15:layout>
                </c:ext>
              </c:extLst>
            </c:dLbl>
            <c:dLbl>
              <c:idx val="2"/>
              <c:layout>
                <c:manualLayout>
                  <c:x val="0.00433741179517058"/>
                  <c:y val="-0.057422969187675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64737489480158"/>
                  <c:y val="-0.087912087912087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403315800171362"/>
                  <c:y val="0.024052813613708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520798627918136"/>
                  <c:y val="-0.043705672951737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643108231046449"/>
                  <c:y val="-0.071955109237627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110053732116269"/>
                  <c:y val="0.050312432665373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0750954877969832"/>
                  <c:y val="-0.044817927170868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职业资格五级(初级技能)</c:v>
                </c:pt>
                <c:pt idx="1">
                  <c:v>职业资格四级(中级技能)</c:v>
                </c:pt>
                <c:pt idx="2">
                  <c:v>职业资格三级(高级技能)</c:v>
                </c:pt>
                <c:pt idx="3">
                  <c:v>职业资格二级(技师)</c:v>
                </c:pt>
                <c:pt idx="4">
                  <c:v>职业资格一级(高级技师)</c:v>
                </c:pt>
                <c:pt idx="5">
                  <c:v>初级专业技术职务</c:v>
                </c:pt>
                <c:pt idx="6">
                  <c:v>中级专业技术职务</c:v>
                </c:pt>
                <c:pt idx="7">
                  <c:v>高级专业技术职务</c:v>
                </c:pt>
                <c:pt idx="8">
                  <c:v>无技术等级或职称</c:v>
                </c:pt>
                <c:pt idx="9">
                  <c:v>无要求</c:v>
                </c:pt>
              </c:strCache>
            </c:strRef>
          </c:cat>
          <c:val>
            <c:numRef>
              <c:f>Sheet1!$E$2:$E$11</c:f>
              <c:numCache>
                <c:formatCode>#,##0.00</c:formatCode>
                <c:ptCount val="10"/>
                <c:pt idx="0">
                  <c:v>8.17</c:v>
                </c:pt>
                <c:pt idx="1">
                  <c:v>1.59</c:v>
                </c:pt>
                <c:pt idx="2">
                  <c:v>0.07</c:v>
                </c:pt>
                <c:pt idx="3">
                  <c:v>0.58</c:v>
                </c:pt>
                <c:pt idx="4">
                  <c:v>0</c:v>
                </c:pt>
                <c:pt idx="5">
                  <c:v>7.66</c:v>
                </c:pt>
                <c:pt idx="6">
                  <c:v>1.84</c:v>
                </c:pt>
                <c:pt idx="7">
                  <c:v>0</c:v>
                </c:pt>
                <c:pt idx="8">
                  <c:v>80.1</c:v>
                </c:pt>
              </c:numCache>
            </c:numRef>
          </c:val>
          <c:smooth val="0"/>
        </c:ser>
        <c:dLbls>
          <c:showLegendKey val="0"/>
          <c:showVal val="1"/>
          <c:showCatName val="0"/>
          <c:showSerName val="0"/>
          <c:showPercent val="0"/>
          <c:showBubbleSize val="0"/>
        </c:dLbls>
        <c:marker val="0"/>
        <c:smooth val="0"/>
        <c:axId val="591472195"/>
        <c:axId val="715343587"/>
      </c:lineChart>
      <c:catAx>
        <c:axId val="16647719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9403947"/>
        <c:crosses val="autoZero"/>
        <c:auto val="1"/>
        <c:lblAlgn val="ctr"/>
        <c:lblOffset val="100"/>
        <c:noMultiLvlLbl val="0"/>
      </c:catAx>
      <c:valAx>
        <c:axId val="97940394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6477199"/>
        <c:crosses val="autoZero"/>
        <c:crossBetween val="between"/>
      </c:valAx>
      <c:catAx>
        <c:axId val="591472195"/>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5343587"/>
        <c:crosses val="autoZero"/>
        <c:auto val="1"/>
        <c:lblAlgn val="ctr"/>
        <c:lblOffset val="100"/>
        <c:noMultiLvlLbl val="0"/>
      </c:catAx>
      <c:valAx>
        <c:axId val="715343587"/>
        <c:scaling>
          <c:orientation val="minMax"/>
        </c:scaling>
        <c:delete val="0"/>
        <c:axPos val="r"/>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1472195"/>
        <c:crosses val="max"/>
        <c:crossBetween val="between"/>
      </c:valAx>
      <c:spPr>
        <a:noFill/>
        <a:ln>
          <a:noFill/>
        </a:ln>
        <a:effectLst/>
      </c:spPr>
    </c:plotArea>
    <c:legend>
      <c:legendPos val="b"/>
      <c:layout>
        <c:manualLayout>
          <c:xMode val="edge"/>
          <c:yMode val="edge"/>
          <c:x val="0.298245614035088"/>
          <c:y val="0.924262012497307"/>
          <c:w val="0.519842040525668"/>
          <c:h val="0.062809739280327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按行业分组的需求人数</a:t>
            </a:r>
            <a:r>
              <a:rPr altLang="en-US"/>
              <a:t>及占比</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需求人数 (人)</c:v>
                </c:pt>
              </c:strCache>
            </c:strRef>
          </c:tx>
          <c:spPr>
            <a:solidFill>
              <a:schemeClr val="accent2"/>
            </a:solidFill>
            <a:ln>
              <a:noFill/>
            </a:ln>
            <a:effectLst/>
          </c:spPr>
          <c:invertIfNegative val="0"/>
          <c:dLbls>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Sheet1!$A$2:$A$21</c:f>
              <c:strCache>
                <c:ptCount val="20"/>
                <c:pt idx="0">
                  <c:v>农、林、牧、渔业</c:v>
                </c:pt>
                <c:pt idx="1">
                  <c:v>采矿业</c:v>
                </c:pt>
                <c:pt idx="2">
                  <c:v>制造业</c:v>
                </c:pt>
                <c:pt idx="3">
                  <c:v>电力、热力、燃气及水生产和供应业</c:v>
                </c:pt>
                <c:pt idx="4">
                  <c:v>建筑业</c:v>
                </c:pt>
                <c:pt idx="5">
                  <c:v>批发和零售业</c:v>
                </c:pt>
                <c:pt idx="6">
                  <c:v>交通运输、仓储和邮政业</c:v>
                </c:pt>
                <c:pt idx="7">
                  <c:v>住宿和餐饮业</c:v>
                </c:pt>
                <c:pt idx="8">
                  <c:v>信息传输、软件和信息技术服务业</c:v>
                </c:pt>
                <c:pt idx="9">
                  <c:v>金融业</c:v>
                </c:pt>
                <c:pt idx="10">
                  <c:v>房地产业</c:v>
                </c:pt>
                <c:pt idx="11">
                  <c:v>租赁和商务服务业</c:v>
                </c:pt>
                <c:pt idx="12">
                  <c:v>科学研究和技术服务业</c:v>
                </c:pt>
                <c:pt idx="13">
                  <c:v>水利、环境和公共设施管理业</c:v>
                </c:pt>
                <c:pt idx="14">
                  <c:v>居民服务、修理和其他服务业</c:v>
                </c:pt>
                <c:pt idx="15">
                  <c:v>教育</c:v>
                </c:pt>
                <c:pt idx="16">
                  <c:v>卫生和社会工作</c:v>
                </c:pt>
                <c:pt idx="17">
                  <c:v>文化、体育和娱乐业</c:v>
                </c:pt>
                <c:pt idx="18">
                  <c:v>公共管理、社会保障和社会组织</c:v>
                </c:pt>
                <c:pt idx="19">
                  <c:v>国际组织</c:v>
                </c:pt>
              </c:strCache>
            </c:strRef>
          </c:cat>
          <c:val>
            <c:numRef>
              <c:f>Sheet1!$B$2:$B$21</c:f>
              <c:numCache>
                <c:formatCode>#,##0</c:formatCode>
                <c:ptCount val="20"/>
                <c:pt idx="0">
                  <c:v>335</c:v>
                </c:pt>
                <c:pt idx="1">
                  <c:v>642</c:v>
                </c:pt>
                <c:pt idx="2">
                  <c:v>1273</c:v>
                </c:pt>
                <c:pt idx="3">
                  <c:v>474</c:v>
                </c:pt>
                <c:pt idx="4">
                  <c:v>209</c:v>
                </c:pt>
                <c:pt idx="5">
                  <c:v>1461</c:v>
                </c:pt>
                <c:pt idx="6">
                  <c:v>1382</c:v>
                </c:pt>
                <c:pt idx="7">
                  <c:v>2151</c:v>
                </c:pt>
                <c:pt idx="8">
                  <c:v>588</c:v>
                </c:pt>
                <c:pt idx="9">
                  <c:v>40</c:v>
                </c:pt>
                <c:pt idx="10">
                  <c:v>202</c:v>
                </c:pt>
                <c:pt idx="11">
                  <c:v>232</c:v>
                </c:pt>
                <c:pt idx="12">
                  <c:v>9</c:v>
                </c:pt>
                <c:pt idx="13">
                  <c:v>109</c:v>
                </c:pt>
                <c:pt idx="14">
                  <c:v>2066</c:v>
                </c:pt>
                <c:pt idx="15">
                  <c:v>210</c:v>
                </c:pt>
                <c:pt idx="16">
                  <c:v>74</c:v>
                </c:pt>
                <c:pt idx="17">
                  <c:v>44</c:v>
                </c:pt>
                <c:pt idx="18">
                  <c:v>49</c:v>
                </c:pt>
                <c:pt idx="19">
                  <c:v>0</c:v>
                </c:pt>
              </c:numCache>
            </c:numRef>
          </c:val>
        </c:ser>
        <c:dLbls>
          <c:showLegendKey val="0"/>
          <c:showVal val="1"/>
          <c:showCatName val="0"/>
          <c:showSerName val="0"/>
          <c:showPercent val="0"/>
          <c:showBubbleSize val="0"/>
        </c:dLbls>
        <c:gapWidth val="219"/>
        <c:overlap val="-27"/>
        <c:axId val="225581312"/>
        <c:axId val="432458621"/>
      </c:barChart>
      <c:lineChart>
        <c:grouping val="standard"/>
        <c:varyColors val="0"/>
        <c:ser>
          <c:idx val="1"/>
          <c:order val="1"/>
          <c:tx>
            <c:strRef>
              <c:f>Sheet1!$C$1</c:f>
              <c:strCache>
                <c:ptCount val="1"/>
                <c:pt idx="0">
                  <c:v>所占比重 (%)</c:v>
                </c:pt>
              </c:strCache>
            </c:strRef>
          </c:tx>
          <c:spPr>
            <a:ln w="28575" cap="rnd">
              <a:solidFill>
                <a:schemeClr val="accent4"/>
              </a:solidFill>
              <a:round/>
            </a:ln>
            <a:effectLst/>
          </c:spPr>
          <c:marker>
            <c:symbol val="none"/>
          </c:marker>
          <c:dLbls>
            <c:dLbl>
              <c:idx val="0"/>
              <c:layout>
                <c:manualLayout>
                  <c:x val="-0.0290972964716664"/>
                  <c:y val="-0.073728188744163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77180387963953"/>
                  <c:y val="-0.062054558859670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313120513212158"/>
                  <c:y val="0.020029491275497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70352833358791"/>
                  <c:y val="-0.068690095846645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206201313578738"/>
                  <c:y val="0.0099533054804620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206201313578738"/>
                  <c:y val="-0.0050380928975178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626241026424317"/>
                  <c:y val="0.046940280167117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768290820223003"/>
                  <c:y val="-0.0071270582452690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239804490606385"/>
                  <c:y val="-0.085524698943229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207728730716359"/>
                  <c:y val="-0.072007864340132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104628073926989"/>
                  <c:y val="-0.053698697468665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0832442340003055"/>
                  <c:y val="-0.043499631359056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0.0145868336642737"/>
                  <c:y val="-0.065495207667731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0.00091645028257217"/>
                  <c:y val="0.0034406488080608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4"/>
              <c:layout>
                <c:manualLayout>
                  <c:x val="0.0104628073926989"/>
                  <c:y val="-0.0099533054804620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5"/>
              <c:layout>
                <c:manualLayout>
                  <c:x val="-0.0475026729799908"/>
                  <c:y val="0.024698943229294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6"/>
              <c:layout>
                <c:manualLayout>
                  <c:x val="-0.0187108599358485"/>
                  <c:y val="-0.082084050135168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7"/>
              <c:layout>
                <c:manualLayout>
                  <c:x val="-0.00725523140369635"/>
                  <c:y val="-0.060334234455640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8"/>
              <c:layout>
                <c:manualLayout>
                  <c:x val="-0.00526958912478998"/>
                  <c:y val="-0.055296141558122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9"/>
              <c:layout>
                <c:manualLayout>
                  <c:x val="-0.000992821139453185"/>
                  <c:y val="-0.031948881789137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Sheet1!$A$2:$A$21</c:f>
              <c:strCache>
                <c:ptCount val="20"/>
                <c:pt idx="0">
                  <c:v>农、林、牧、渔业</c:v>
                </c:pt>
                <c:pt idx="1">
                  <c:v>采矿业</c:v>
                </c:pt>
                <c:pt idx="2">
                  <c:v>制造业</c:v>
                </c:pt>
                <c:pt idx="3">
                  <c:v>电力、热力、燃气及水生产和供应业</c:v>
                </c:pt>
                <c:pt idx="4">
                  <c:v>建筑业</c:v>
                </c:pt>
                <c:pt idx="5">
                  <c:v>批发和零售业</c:v>
                </c:pt>
                <c:pt idx="6">
                  <c:v>交通运输、仓储和邮政业</c:v>
                </c:pt>
                <c:pt idx="7">
                  <c:v>住宿和餐饮业</c:v>
                </c:pt>
                <c:pt idx="8">
                  <c:v>信息传输、软件和信息技术服务业</c:v>
                </c:pt>
                <c:pt idx="9">
                  <c:v>金融业</c:v>
                </c:pt>
                <c:pt idx="10">
                  <c:v>房地产业</c:v>
                </c:pt>
                <c:pt idx="11">
                  <c:v>租赁和商务服务业</c:v>
                </c:pt>
                <c:pt idx="12">
                  <c:v>科学研究和技术服务业</c:v>
                </c:pt>
                <c:pt idx="13">
                  <c:v>水利、环境和公共设施管理业</c:v>
                </c:pt>
                <c:pt idx="14">
                  <c:v>居民服务、修理和其他服务业</c:v>
                </c:pt>
                <c:pt idx="15">
                  <c:v>教育</c:v>
                </c:pt>
                <c:pt idx="16">
                  <c:v>卫生和社会工作</c:v>
                </c:pt>
                <c:pt idx="17">
                  <c:v>文化、体育和娱乐业</c:v>
                </c:pt>
                <c:pt idx="18">
                  <c:v>公共管理、社会保障和社会组织</c:v>
                </c:pt>
                <c:pt idx="19">
                  <c:v>国际组织</c:v>
                </c:pt>
              </c:strCache>
            </c:strRef>
          </c:cat>
          <c:val>
            <c:numRef>
              <c:f>Sheet1!$C$2:$C$21</c:f>
              <c:numCache>
                <c:formatCode>#,##0.00</c:formatCode>
                <c:ptCount val="20"/>
                <c:pt idx="0">
                  <c:v>2.9</c:v>
                </c:pt>
                <c:pt idx="1">
                  <c:v>5.56</c:v>
                </c:pt>
                <c:pt idx="2">
                  <c:v>11.02</c:v>
                </c:pt>
                <c:pt idx="3">
                  <c:v>4.1</c:v>
                </c:pt>
                <c:pt idx="4">
                  <c:v>1.81</c:v>
                </c:pt>
                <c:pt idx="5">
                  <c:v>12.65</c:v>
                </c:pt>
                <c:pt idx="6">
                  <c:v>11.97</c:v>
                </c:pt>
                <c:pt idx="7">
                  <c:v>18.62</c:v>
                </c:pt>
                <c:pt idx="8">
                  <c:v>5.09</c:v>
                </c:pt>
                <c:pt idx="9">
                  <c:v>0.35</c:v>
                </c:pt>
                <c:pt idx="10">
                  <c:v>1.75</c:v>
                </c:pt>
                <c:pt idx="11">
                  <c:v>2.01</c:v>
                </c:pt>
                <c:pt idx="12">
                  <c:v>0.08</c:v>
                </c:pt>
                <c:pt idx="13">
                  <c:v>0.94</c:v>
                </c:pt>
                <c:pt idx="14">
                  <c:v>17.89</c:v>
                </c:pt>
                <c:pt idx="15">
                  <c:v>1.82</c:v>
                </c:pt>
                <c:pt idx="16">
                  <c:v>0.64</c:v>
                </c:pt>
                <c:pt idx="17">
                  <c:v>0.38</c:v>
                </c:pt>
                <c:pt idx="18">
                  <c:v>0.42</c:v>
                </c:pt>
                <c:pt idx="19">
                  <c:v>0</c:v>
                </c:pt>
              </c:numCache>
            </c:numRef>
          </c:val>
          <c:smooth val="0"/>
        </c:ser>
        <c:dLbls>
          <c:showLegendKey val="0"/>
          <c:showVal val="1"/>
          <c:showCatName val="0"/>
          <c:showSerName val="0"/>
          <c:showPercent val="0"/>
          <c:showBubbleSize val="0"/>
        </c:dLbls>
        <c:marker val="0"/>
        <c:smooth val="0"/>
        <c:axId val="323760610"/>
        <c:axId val="382839618"/>
      </c:lineChart>
      <c:catAx>
        <c:axId val="225581312"/>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2458621"/>
        <c:crosses val="autoZero"/>
        <c:auto val="1"/>
        <c:lblAlgn val="ctr"/>
        <c:lblOffset val="100"/>
        <c:noMultiLvlLbl val="0"/>
      </c:catAx>
      <c:valAx>
        <c:axId val="43245862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5581312"/>
        <c:crosses val="autoZero"/>
        <c:crossBetween val="between"/>
      </c:valAx>
      <c:catAx>
        <c:axId val="323760610"/>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2839618"/>
        <c:crosses val="autoZero"/>
        <c:auto val="1"/>
        <c:lblAlgn val="ctr"/>
        <c:lblOffset val="100"/>
        <c:noMultiLvlLbl val="0"/>
      </c:catAx>
      <c:valAx>
        <c:axId val="382839618"/>
        <c:scaling>
          <c:orientation val="minMax"/>
        </c:scaling>
        <c:delete val="0"/>
        <c:axPos val="r"/>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3760610"/>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其中企业分组的需求人数</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774300508550517"/>
          <c:y val="0.147431059506531"/>
          <c:w val="0.825686632066208"/>
          <c:h val="0.636761812610869"/>
        </c:manualLayout>
      </c:layout>
      <c:pie3DChart>
        <c:varyColors val="1"/>
        <c:ser>
          <c:idx val="0"/>
          <c:order val="0"/>
          <c:tx>
            <c:strRef>
              <c:f>Sheet1!$B$1</c:f>
              <c:strCache>
                <c:ptCount val="1"/>
                <c:pt idx="0">
                  <c:v>需求人数</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Pt>
            <c:idx val="4"/>
            <c:bubble3D val="0"/>
            <c:spPr>
              <a:solidFill>
                <a:schemeClr val="accent5"/>
              </a:solidFill>
              <a:ln w="25400">
                <a:solidFill>
                  <a:schemeClr val="lt1"/>
                </a:solidFill>
              </a:ln>
              <a:effectLst/>
              <a:scene3d>
                <a:camera prst="orthographicFront"/>
                <a:lightRig rig="threePt" dir="t"/>
              </a:scene3d>
              <a:sp3d contourW="25400"/>
            </c:spPr>
          </c:dPt>
          <c:dPt>
            <c:idx val="5"/>
            <c:bubble3D val="0"/>
            <c:spPr>
              <a:solidFill>
                <a:schemeClr val="accent6"/>
              </a:solidFill>
              <a:ln w="25400">
                <a:solidFill>
                  <a:schemeClr val="lt1"/>
                </a:solidFill>
              </a:ln>
              <a:effectLst/>
              <a:scene3d>
                <a:camera prst="orthographicFront"/>
                <a:lightRig rig="threePt" dir="t"/>
              </a:scene3d>
              <a:sp3d contourW="25400"/>
            </c:spPr>
          </c:dPt>
          <c:dPt>
            <c:idx val="6"/>
            <c:bubble3D val="0"/>
            <c:spPr>
              <a:solidFill>
                <a:schemeClr val="accent1">
                  <a:lumMod val="60000"/>
                </a:schemeClr>
              </a:solidFill>
              <a:ln w="25400">
                <a:solidFill>
                  <a:schemeClr val="lt1"/>
                </a:solidFill>
              </a:ln>
              <a:effectLst/>
              <a:scene3d>
                <a:camera prst="orthographicFront"/>
                <a:lightRig rig="threePt" dir="t"/>
              </a:scene3d>
              <a:sp3d contourW="25400"/>
            </c:spPr>
          </c:dPt>
          <c:dPt>
            <c:idx val="7"/>
            <c:bubble3D val="0"/>
            <c:spPr>
              <a:solidFill>
                <a:schemeClr val="accent2">
                  <a:lumMod val="60000"/>
                </a:schemeClr>
              </a:solidFill>
              <a:ln w="25400">
                <a:solidFill>
                  <a:schemeClr val="lt1"/>
                </a:solidFill>
              </a:ln>
              <a:effectLst/>
              <a:scene3d>
                <a:camera prst="orthographicFront"/>
                <a:lightRig rig="threePt" dir="t"/>
              </a:scene3d>
              <a:sp3d contourW="25400"/>
            </c:spPr>
          </c:dPt>
          <c:dLbls>
            <c:dLbl>
              <c:idx val="0"/>
              <c:layout>
                <c:manualLayout>
                  <c:x val="-0.0681633580894084"/>
                  <c:y val="-0.0092716717080385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943633618520382"/>
                  <c:y val="-0.0198906016907011"/>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34946486738018"/>
                      <c:h val="0.0456629728696981"/>
                    </c:manualLayout>
                  </c15:layout>
                </c:ext>
              </c:extLst>
            </c:dLbl>
            <c:dLbl>
              <c:idx val="2"/>
              <c:layout>
                <c:manualLayout>
                  <c:x val="-0.0519627579265224"/>
                  <c:y val="-0.0278468423669816"/>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02415702063412"/>
                      <c:h val="0.0681253107906514"/>
                    </c:manualLayout>
                  </c15:layout>
                </c:ext>
              </c:extLst>
            </c:dLbl>
            <c:dLbl>
              <c:idx val="5"/>
              <c:layout>
                <c:manualLayout>
                  <c:x val="0.0075244126743338"/>
                  <c:y val="-0.27598114821981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204780952242229"/>
                  <c:y val="-0.015049398480829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        国有企业</c:v>
                </c:pt>
                <c:pt idx="1">
                  <c:v>        集体企业</c:v>
                </c:pt>
                <c:pt idx="2">
                  <c:v>        股份合作企业</c:v>
                </c:pt>
                <c:pt idx="3">
                  <c:v>        有限责任公司</c:v>
                </c:pt>
                <c:pt idx="4">
                  <c:v>        股份有限公司</c:v>
                </c:pt>
                <c:pt idx="5">
                  <c:v>        私营企业</c:v>
                </c:pt>
                <c:pt idx="6">
                  <c:v>        其它企业</c:v>
                </c:pt>
                <c:pt idx="7">
                  <c:v>     个体经营</c:v>
                </c:pt>
              </c:strCache>
            </c:strRef>
          </c:cat>
          <c:val>
            <c:numRef>
              <c:f>Sheet1!$B$2:$B$9</c:f>
              <c:numCache>
                <c:formatCode>#,##0</c:formatCode>
                <c:ptCount val="8"/>
                <c:pt idx="0">
                  <c:v>1130</c:v>
                </c:pt>
                <c:pt idx="1">
                  <c:v>15</c:v>
                </c:pt>
                <c:pt idx="2">
                  <c:v>23</c:v>
                </c:pt>
                <c:pt idx="3">
                  <c:v>780</c:v>
                </c:pt>
                <c:pt idx="4">
                  <c:v>980</c:v>
                </c:pt>
                <c:pt idx="5">
                  <c:v>6641</c:v>
                </c:pt>
                <c:pt idx="6">
                  <c:v>195</c:v>
                </c:pt>
                <c:pt idx="7">
                  <c:v>1639</c:v>
                </c:pt>
              </c:numCache>
            </c:numRef>
          </c:val>
        </c:ser>
        <c:dLbls>
          <c:showLegendKey val="0"/>
          <c:showVal val="1"/>
          <c:showCatName val="0"/>
          <c:showSerName val="0"/>
          <c:showPercent val="0"/>
          <c:showBubbleSize val="0"/>
        </c:dLbls>
      </c:pie3DChart>
      <c:spPr>
        <a:noFill/>
        <a:ln>
          <a:noFill/>
        </a:ln>
        <a:effectLst/>
      </c:spPr>
    </c:plotArea>
    <c:legend>
      <c:legendPos val="b"/>
      <c:layout>
        <c:manualLayout>
          <c:xMode val="edge"/>
          <c:yMode val="edge"/>
          <c:x val="0.0269491100526448"/>
          <c:y val="0.796928051738076"/>
          <c:w val="0.969290549009777"/>
          <c:h val="0.1982215036378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932142185442919"/>
          <c:y val="0.20719504782091"/>
          <c:w val="0.807176979499718"/>
          <c:h val="0.60049579459938"/>
        </c:manualLayout>
      </c:layout>
      <c:pie3DChart>
        <c:varyColors val="1"/>
        <c:ser>
          <c:idx val="0"/>
          <c:order val="0"/>
          <c:tx>
            <c:strRef>
              <c:f>Sheet1!$B$1</c:f>
              <c:strCache>
                <c:ptCount val="1"/>
                <c:pt idx="0">
                  <c:v>需求人数</c:v>
                </c:pt>
              </c:strCache>
            </c:strRef>
          </c:tx>
          <c:spPr>
            <a:scene3d>
              <a:camera prst="orthographicFront"/>
              <a:lightRig rig="threePt" dir="t"/>
            </a:scene3d>
            <a:sp3d contourW="25400"/>
          </c:spPr>
          <c:explosion val="0"/>
          <c:dPt>
            <c:idx val="0"/>
            <c:bubble3D val="0"/>
            <c:spPr>
              <a:solidFill>
                <a:schemeClr val="accent2"/>
              </a:solidFill>
              <a:ln w="25400">
                <a:solidFill>
                  <a:schemeClr val="lt1"/>
                </a:solidFill>
              </a:ln>
              <a:effectLst/>
            </c:spPr>
          </c:dPt>
          <c:dPt>
            <c:idx val="1"/>
            <c:bubble3D val="0"/>
            <c:spPr>
              <a:solidFill>
                <a:schemeClr val="accent4"/>
              </a:solidFill>
              <a:ln w="25400">
                <a:solidFill>
                  <a:schemeClr val="lt1"/>
                </a:solidFill>
              </a:ln>
              <a:effectLst/>
            </c:spPr>
          </c:dPt>
          <c:dPt>
            <c:idx val="2"/>
            <c:bubble3D val="0"/>
            <c:spPr>
              <a:solidFill>
                <a:schemeClr val="accent6"/>
              </a:solidFill>
              <a:ln w="25400">
                <a:solidFill>
                  <a:schemeClr val="lt1"/>
                </a:solidFill>
              </a:ln>
              <a:effectLst/>
            </c:spPr>
          </c:dPt>
          <c:dPt>
            <c:idx val="3"/>
            <c:bubble3D val="0"/>
            <c:spPr>
              <a:solidFill>
                <a:schemeClr val="accent2">
                  <a:lumMod val="60000"/>
                </a:schemeClr>
              </a:solidFill>
              <a:ln w="25400">
                <a:solidFill>
                  <a:schemeClr val="lt1"/>
                </a:solidFill>
              </a:ln>
              <a:effectLst/>
            </c:spPr>
          </c:dPt>
          <c:dLbls>
            <c:dLbl>
              <c:idx val="0"/>
              <c:layout>
                <c:manualLayout>
                  <c:x val="-0.0517828649873942"/>
                  <c:y val="-0.27501433372472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04230377166157"/>
                  <c:y val="-0.010588801540189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891946992864418"/>
                  <c:y val="-0.021338039467351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839421326563756"/>
                  <c:y val="-0.011657423867581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企业</c:v>
                </c:pt>
                <c:pt idx="1">
                  <c:v>事业</c:v>
                </c:pt>
                <c:pt idx="2">
                  <c:v>机关</c:v>
                </c:pt>
                <c:pt idx="3">
                  <c:v>其他</c:v>
                </c:pt>
              </c:strCache>
            </c:strRef>
          </c:cat>
          <c:val>
            <c:numRef>
              <c:f>Sheet1!$B$2:$B$5</c:f>
              <c:numCache>
                <c:formatCode>#,##0</c:formatCode>
                <c:ptCount val="4"/>
                <c:pt idx="0">
                  <c:v>11403</c:v>
                </c:pt>
                <c:pt idx="1" c:formatCode="General">
                  <c:v>125</c:v>
                </c:pt>
                <c:pt idx="2" c:formatCode="General">
                  <c:v>0</c:v>
                </c:pt>
                <c:pt idx="3" c:formatCode="General">
                  <c:v>22</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按职业分组的供求人数</a:t>
            </a:r>
          </a:p>
        </c:rich>
      </c:tx>
      <c:layout/>
      <c:overlay val="0"/>
      <c:spPr>
        <a:noFill/>
        <a:ln>
          <a:noFill/>
        </a:ln>
        <a:effectLst/>
      </c:spPr>
    </c:title>
    <c:autoTitleDeleted val="0"/>
    <c:plotArea>
      <c:layout>
        <c:manualLayout>
          <c:layoutTarget val="inner"/>
          <c:xMode val="edge"/>
          <c:yMode val="edge"/>
          <c:x val="0.0546899490445502"/>
          <c:y val="0.133385114449173"/>
          <c:w val="0.897166874221669"/>
          <c:h val="0.56629798308393"/>
        </c:manualLayout>
      </c:layout>
      <c:barChart>
        <c:barDir val="col"/>
        <c:grouping val="clustered"/>
        <c:varyColors val="0"/>
        <c:ser>
          <c:idx val="0"/>
          <c:order val="0"/>
          <c:tx>
            <c:strRef>
              <c:f>Sheet1!$B$1</c:f>
              <c:strCache>
                <c:ptCount val="1"/>
                <c:pt idx="0">
                  <c:v>需求 人数(人)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单位负责人</c:v>
                </c:pt>
                <c:pt idx="1">
                  <c:v>专业技术人员</c:v>
                </c:pt>
                <c:pt idx="2">
                  <c:v>办事人员和有关人员</c:v>
                </c:pt>
                <c:pt idx="3">
                  <c:v>社会生产服务和生活服务人员</c:v>
                </c:pt>
                <c:pt idx="4">
                  <c:v>农林牧渔业生产及辅助人员</c:v>
                </c:pt>
                <c:pt idx="5">
                  <c:v>生产制造及有关人员</c:v>
                </c:pt>
                <c:pt idx="6">
                  <c:v>其他</c:v>
                </c:pt>
                <c:pt idx="7">
                  <c:v>无要求</c:v>
                </c:pt>
              </c:strCache>
            </c:strRef>
          </c:cat>
          <c:val>
            <c:numRef>
              <c:f>Sheet1!$B$2:$B$9</c:f>
              <c:numCache>
                <c:formatCode>#,##0</c:formatCode>
                <c:ptCount val="8"/>
                <c:pt idx="0">
                  <c:v>40</c:v>
                </c:pt>
                <c:pt idx="1">
                  <c:v>961</c:v>
                </c:pt>
                <c:pt idx="2">
                  <c:v>3148</c:v>
                </c:pt>
                <c:pt idx="3">
                  <c:v>3088</c:v>
                </c:pt>
                <c:pt idx="4">
                  <c:v>92</c:v>
                </c:pt>
                <c:pt idx="5">
                  <c:v>1929</c:v>
                </c:pt>
                <c:pt idx="6">
                  <c:v>2292</c:v>
                </c:pt>
              </c:numCache>
            </c:numRef>
          </c:val>
        </c:ser>
        <c:ser>
          <c:idx val="1"/>
          <c:order val="1"/>
          <c:tx>
            <c:strRef>
              <c:f>Sheet1!$C$1</c:f>
              <c:strCache>
                <c:ptCount val="1"/>
                <c:pt idx="0">
                  <c:v>求职 人数(人)</c:v>
                </c:pt>
              </c:strCache>
            </c:strRef>
          </c:tx>
          <c:spPr>
            <a:solidFill>
              <a:schemeClr val="accent4"/>
            </a:solidFill>
            <a:ln>
              <a:noFill/>
            </a:ln>
            <a:effectLst/>
          </c:spPr>
          <c:invertIfNegative val="0"/>
          <c:dLbls>
            <c:dLbl>
              <c:idx val="0"/>
              <c:layout>
                <c:manualLayout>
                  <c:x val="0.00253542132736764"/>
                  <c:y val="-0.0240146175933177"/>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372856077554064"/>
                  <c:y val="0.0326285565126599"/>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单位负责人</c:v>
                </c:pt>
                <c:pt idx="1">
                  <c:v>专业技术人员</c:v>
                </c:pt>
                <c:pt idx="2">
                  <c:v>办事人员和有关人员</c:v>
                </c:pt>
                <c:pt idx="3">
                  <c:v>社会生产服务和生活服务人员</c:v>
                </c:pt>
                <c:pt idx="4">
                  <c:v>农林牧渔业生产及辅助人员</c:v>
                </c:pt>
                <c:pt idx="5">
                  <c:v>生产制造及有关人员</c:v>
                </c:pt>
                <c:pt idx="6">
                  <c:v>其他</c:v>
                </c:pt>
                <c:pt idx="7">
                  <c:v>无要求</c:v>
                </c:pt>
              </c:strCache>
            </c:strRef>
          </c:cat>
          <c:val>
            <c:numRef>
              <c:f>Sheet1!$C$2:$C$9</c:f>
              <c:numCache>
                <c:formatCode>#,##0</c:formatCode>
                <c:ptCount val="8"/>
                <c:pt idx="0">
                  <c:v>9</c:v>
                </c:pt>
                <c:pt idx="1">
                  <c:v>637</c:v>
                </c:pt>
                <c:pt idx="2">
                  <c:v>1822</c:v>
                </c:pt>
                <c:pt idx="3">
                  <c:v>1425</c:v>
                </c:pt>
                <c:pt idx="4">
                  <c:v>10</c:v>
                </c:pt>
                <c:pt idx="5">
                  <c:v>1484</c:v>
                </c:pt>
                <c:pt idx="6">
                  <c:v>861</c:v>
                </c:pt>
                <c:pt idx="7">
                  <c:v>987</c:v>
                </c:pt>
              </c:numCache>
            </c:numRef>
          </c:val>
        </c:ser>
        <c:dLbls>
          <c:showLegendKey val="0"/>
          <c:showVal val="1"/>
          <c:showCatName val="0"/>
          <c:showSerName val="0"/>
          <c:showPercent val="0"/>
          <c:showBubbleSize val="0"/>
        </c:dLbls>
        <c:gapWidth val="219"/>
        <c:overlap val="-27"/>
        <c:axId val="947187043"/>
        <c:axId val="458235469"/>
      </c:barChart>
      <c:lineChart>
        <c:grouping val="standard"/>
        <c:varyColors val="0"/>
        <c:ser>
          <c:idx val="2"/>
          <c:order val="2"/>
          <c:tx>
            <c:strRef>
              <c:f>Sheet1!$D$1</c:f>
              <c:strCache>
                <c:ptCount val="1"/>
                <c:pt idx="0">
                  <c:v>需求 比重 (%)</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0.000886559175226191"/>
                  <c:y val="-0.082047032193427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36241610738255"/>
                  <c:y val="-0.04306969459671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572769305085914"/>
                  <c:y val="-0.00077320350632640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029365700861393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32653809500211"/>
                  <c:y val="-0.09473807480076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14152470167012"/>
                  <c:y val="-0.062954929005263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447427293064877"/>
                  <c:y val="-0.041111981205951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单位负责人</c:v>
                </c:pt>
                <c:pt idx="1">
                  <c:v>专业技术人员</c:v>
                </c:pt>
                <c:pt idx="2">
                  <c:v>办事人员和有关人员</c:v>
                </c:pt>
                <c:pt idx="3">
                  <c:v>社会生产服务和生活服务人员</c:v>
                </c:pt>
                <c:pt idx="4">
                  <c:v>农林牧渔业生产及辅助人员</c:v>
                </c:pt>
                <c:pt idx="5">
                  <c:v>生产制造及有关人员</c:v>
                </c:pt>
                <c:pt idx="6">
                  <c:v>其他</c:v>
                </c:pt>
                <c:pt idx="7">
                  <c:v>无要求</c:v>
                </c:pt>
              </c:strCache>
            </c:strRef>
          </c:cat>
          <c:val>
            <c:numRef>
              <c:f>Sheet1!$D$2:$D$9</c:f>
              <c:numCache>
                <c:formatCode>#,##0.00</c:formatCode>
                <c:ptCount val="8"/>
                <c:pt idx="0">
                  <c:v>0.35</c:v>
                </c:pt>
                <c:pt idx="1">
                  <c:v>8.32</c:v>
                </c:pt>
                <c:pt idx="2">
                  <c:v>27.26</c:v>
                </c:pt>
                <c:pt idx="3">
                  <c:v>26.74</c:v>
                </c:pt>
                <c:pt idx="4">
                  <c:v>0.8</c:v>
                </c:pt>
                <c:pt idx="5">
                  <c:v>16.7</c:v>
                </c:pt>
                <c:pt idx="6">
                  <c:v>19.84</c:v>
                </c:pt>
              </c:numCache>
            </c:numRef>
          </c:val>
          <c:smooth val="0"/>
        </c:ser>
        <c:ser>
          <c:idx val="3"/>
          <c:order val="3"/>
          <c:tx>
            <c:strRef>
              <c:f>Sheet1!$E$1</c:f>
              <c:strCache>
                <c:ptCount val="1"/>
                <c:pt idx="0">
                  <c:v>求职 比重 (%)</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dLbls>
            <c:dLbl>
              <c:idx val="0"/>
              <c:layout>
                <c:manualLayout>
                  <c:x val="-0.0494099786074115"/>
                  <c:y val="-0.052361503822389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559284116331096"/>
                  <c:y val="-0.019577133907595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75534435192386"/>
                  <c:y val="-0.080270103352669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264992064039749"/>
                  <c:y val="-0.057597654204628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541025464081154"/>
                  <c:y val="-0.03967013318683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685629348175738"/>
                  <c:y val="-0.047109608085829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单位负责人</c:v>
                </c:pt>
                <c:pt idx="1">
                  <c:v>专业技术人员</c:v>
                </c:pt>
                <c:pt idx="2">
                  <c:v>办事人员和有关人员</c:v>
                </c:pt>
                <c:pt idx="3">
                  <c:v>社会生产服务和生活服务人员</c:v>
                </c:pt>
                <c:pt idx="4">
                  <c:v>农林牧渔业生产及辅助人员</c:v>
                </c:pt>
                <c:pt idx="5">
                  <c:v>生产制造及有关人员</c:v>
                </c:pt>
                <c:pt idx="6">
                  <c:v>其他</c:v>
                </c:pt>
                <c:pt idx="7">
                  <c:v>无要求</c:v>
                </c:pt>
              </c:strCache>
            </c:strRef>
          </c:cat>
          <c:val>
            <c:numRef>
              <c:f>Sheet1!$E$2:$E$9</c:f>
              <c:numCache>
                <c:formatCode>#,##0.00</c:formatCode>
                <c:ptCount val="8"/>
                <c:pt idx="0">
                  <c:v>0.12</c:v>
                </c:pt>
                <c:pt idx="1">
                  <c:v>8.8</c:v>
                </c:pt>
                <c:pt idx="2">
                  <c:v>25.18</c:v>
                </c:pt>
                <c:pt idx="3">
                  <c:v>19.7</c:v>
                </c:pt>
                <c:pt idx="4">
                  <c:v>0.14</c:v>
                </c:pt>
                <c:pt idx="5">
                  <c:v>20.51</c:v>
                </c:pt>
                <c:pt idx="6">
                  <c:v>11.9</c:v>
                </c:pt>
                <c:pt idx="7">
                  <c:v>13.64</c:v>
                </c:pt>
              </c:numCache>
            </c:numRef>
          </c:val>
          <c:smooth val="0"/>
        </c:ser>
        <c:dLbls>
          <c:showLegendKey val="0"/>
          <c:showVal val="1"/>
          <c:showCatName val="0"/>
          <c:showSerName val="0"/>
          <c:showPercent val="0"/>
          <c:showBubbleSize val="0"/>
        </c:dLbls>
        <c:marker val="1"/>
        <c:smooth val="0"/>
        <c:axId val="488026430"/>
        <c:axId val="464101521"/>
      </c:lineChart>
      <c:catAx>
        <c:axId val="94718704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8235469"/>
        <c:crosses val="autoZero"/>
        <c:auto val="1"/>
        <c:lblAlgn val="ctr"/>
        <c:lblOffset val="100"/>
        <c:noMultiLvlLbl val="0"/>
      </c:catAx>
      <c:valAx>
        <c:axId val="45823546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7187043"/>
        <c:crosses val="autoZero"/>
        <c:crossBetween val="between"/>
      </c:valAx>
      <c:catAx>
        <c:axId val="488026430"/>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4101521"/>
        <c:crosses val="autoZero"/>
        <c:auto val="1"/>
        <c:lblAlgn val="ctr"/>
        <c:lblOffset val="100"/>
        <c:noMultiLvlLbl val="0"/>
      </c:catAx>
      <c:valAx>
        <c:axId val="464101521"/>
        <c:scaling>
          <c:orientation val="minMax"/>
        </c:scaling>
        <c:delete val="0"/>
        <c:axPos val="r"/>
        <c:numFmt formatCode="#,##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8026430"/>
        <c:crosses val="max"/>
        <c:crossBetween val="between"/>
      </c:valAx>
      <c:spPr>
        <a:noFill/>
        <a:ln>
          <a:noFill/>
        </a:ln>
        <a:effectLst/>
      </c:spPr>
    </c:plotArea>
    <c:legend>
      <c:legendPos val="b"/>
      <c:layout>
        <c:manualLayout>
          <c:xMode val="edge"/>
          <c:yMode val="edge"/>
          <c:x val="0.281071009592161"/>
          <c:y val="0.890675756292153"/>
          <c:w val="0.533158512179974"/>
          <c:h val="0.08409257513875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按求职人员类别分组的求职人数及占比</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求职人数(人)</c:v>
                </c:pt>
              </c:strCache>
            </c:strRef>
          </c:tx>
          <c:spPr>
            <a:solidFill>
              <a:schemeClr val="accent2"/>
            </a:solidFill>
            <a:ln>
              <a:noFill/>
            </a:ln>
            <a:effectLst/>
          </c:spPr>
          <c:invertIfNegative val="0"/>
          <c:dLbls>
            <c:dLbl>
              <c:idx val="3"/>
              <c:layout>
                <c:manualLayout>
                  <c:x val="0"/>
                  <c:y val="0.00695007529248234"/>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新成长失业青年 </c:v>
                </c:pt>
                <c:pt idx="1">
                  <c:v>其中：应届高校毕业生</c:v>
                </c:pt>
                <c:pt idx="2">
                  <c:v>失业人员</c:v>
                </c:pt>
                <c:pt idx="3">
                  <c:v>在业人员</c:v>
                </c:pt>
                <c:pt idx="4">
                  <c:v>退休人员</c:v>
                </c:pt>
                <c:pt idx="5">
                  <c:v>在学人员</c:v>
                </c:pt>
                <c:pt idx="6">
                  <c:v>本市农村求职人员</c:v>
                </c:pt>
                <c:pt idx="7">
                  <c:v>外地户籍求职人员</c:v>
                </c:pt>
              </c:strCache>
            </c:strRef>
          </c:cat>
          <c:val>
            <c:numRef>
              <c:f>Sheet1!$B$2:$B$9</c:f>
              <c:numCache>
                <c:formatCode>#,##0</c:formatCode>
                <c:ptCount val="8"/>
                <c:pt idx="0">
                  <c:v>921</c:v>
                </c:pt>
                <c:pt idx="1">
                  <c:v>447</c:v>
                </c:pt>
                <c:pt idx="2">
                  <c:v>3818</c:v>
                </c:pt>
                <c:pt idx="3">
                  <c:v>1170</c:v>
                </c:pt>
                <c:pt idx="4">
                  <c:v>44</c:v>
                </c:pt>
                <c:pt idx="5">
                  <c:v>0</c:v>
                </c:pt>
                <c:pt idx="6">
                  <c:v>573</c:v>
                </c:pt>
                <c:pt idx="7">
                  <c:v>709</c:v>
                </c:pt>
              </c:numCache>
            </c:numRef>
          </c:val>
        </c:ser>
        <c:dLbls>
          <c:showLegendKey val="0"/>
          <c:showVal val="1"/>
          <c:showCatName val="0"/>
          <c:showSerName val="0"/>
          <c:showPercent val="0"/>
          <c:showBubbleSize val="0"/>
        </c:dLbls>
        <c:gapWidth val="219"/>
        <c:overlap val="-27"/>
        <c:axId val="685628675"/>
        <c:axId val="839787285"/>
      </c:barChart>
      <c:lineChart>
        <c:grouping val="standard"/>
        <c:varyColors val="0"/>
        <c:ser>
          <c:idx val="1"/>
          <c:order val="1"/>
          <c:tx>
            <c:strRef>
              <c:f>Sheet1!$C$1</c:f>
              <c:strCache>
                <c:ptCount val="1"/>
                <c:pt idx="0">
                  <c:v>所占比重(%)</c:v>
                </c:pt>
              </c:strCache>
            </c:strRef>
          </c:tx>
          <c:spPr>
            <a:ln w="28575" cap="rnd">
              <a:solidFill>
                <a:schemeClr val="accent4"/>
              </a:solidFill>
              <a:round/>
            </a:ln>
            <a:effectLst/>
          </c:spPr>
          <c:marker>
            <c:symbol val="none"/>
          </c:marker>
          <c:dLbls>
            <c:dLbl>
              <c:idx val="0"/>
              <c:layout>
                <c:manualLayout>
                  <c:x val="-0.0281535934933917"/>
                  <c:y val="-0.031275338816170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17306639555799"/>
                  <c:y val="0.038225414108652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703839837334793"/>
                  <c:y val="-0.022587744700567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703839837334793"/>
                  <c:y val="-0.043437970578014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117306639555799"/>
                  <c:y val="-0.031275338816170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234613279111598"/>
                  <c:y val="-0.06255067763234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40767967466959"/>
                  <c:y val="-0.050388045870496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117306639555799"/>
                  <c:y val="-0.043437970578014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新成长失业青年 </c:v>
                </c:pt>
                <c:pt idx="1">
                  <c:v>其中：应届高校毕业生</c:v>
                </c:pt>
                <c:pt idx="2">
                  <c:v>失业人员</c:v>
                </c:pt>
                <c:pt idx="3">
                  <c:v>在业人员</c:v>
                </c:pt>
                <c:pt idx="4">
                  <c:v>退休人员</c:v>
                </c:pt>
                <c:pt idx="5">
                  <c:v>在学人员</c:v>
                </c:pt>
                <c:pt idx="6">
                  <c:v>本市农村求职人员</c:v>
                </c:pt>
                <c:pt idx="7">
                  <c:v>外地户籍求职人员</c:v>
                </c:pt>
              </c:strCache>
            </c:strRef>
          </c:cat>
          <c:val>
            <c:numRef>
              <c:f>Sheet1!$C$2:$C$9</c:f>
              <c:numCache>
                <c:formatCode>#,##0.00</c:formatCode>
                <c:ptCount val="8"/>
                <c:pt idx="0">
                  <c:v>12.73</c:v>
                </c:pt>
                <c:pt idx="1">
                  <c:v>48.53</c:v>
                </c:pt>
                <c:pt idx="2">
                  <c:v>52.77</c:v>
                </c:pt>
                <c:pt idx="3">
                  <c:v>16.17</c:v>
                </c:pt>
                <c:pt idx="4">
                  <c:v>0.61</c:v>
                </c:pt>
                <c:pt idx="5">
                  <c:v>0</c:v>
                </c:pt>
                <c:pt idx="6">
                  <c:v>7.92</c:v>
                </c:pt>
                <c:pt idx="7">
                  <c:v>9.8</c:v>
                </c:pt>
              </c:numCache>
            </c:numRef>
          </c:val>
          <c:smooth val="0"/>
        </c:ser>
        <c:dLbls>
          <c:showLegendKey val="0"/>
          <c:showVal val="1"/>
          <c:showCatName val="0"/>
          <c:showSerName val="0"/>
          <c:showPercent val="0"/>
          <c:showBubbleSize val="0"/>
        </c:dLbls>
        <c:marker val="0"/>
        <c:smooth val="0"/>
        <c:axId val="256367329"/>
        <c:axId val="484297088"/>
      </c:lineChart>
      <c:catAx>
        <c:axId val="68562867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9787285"/>
        <c:crosses val="autoZero"/>
        <c:auto val="1"/>
        <c:lblAlgn val="ctr"/>
        <c:lblOffset val="100"/>
        <c:noMultiLvlLbl val="0"/>
      </c:catAx>
      <c:valAx>
        <c:axId val="83978728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5628675"/>
        <c:crosses val="autoZero"/>
        <c:crossBetween val="between"/>
      </c:valAx>
      <c:catAx>
        <c:axId val="256367329"/>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4297088"/>
        <c:crosses val="autoZero"/>
        <c:auto val="1"/>
        <c:lblAlgn val="ctr"/>
        <c:lblOffset val="100"/>
        <c:noMultiLvlLbl val="0"/>
      </c:catAx>
      <c:valAx>
        <c:axId val="484297088"/>
        <c:scaling>
          <c:orientation val="minMax"/>
        </c:scaling>
        <c:delete val="0"/>
        <c:axPos val="r"/>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6367329"/>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按性别分组的供求人数</a:t>
            </a:r>
          </a:p>
        </c:rich>
      </c:tx>
      <c:layout>
        <c:manualLayout>
          <c:xMode val="edge"/>
          <c:yMode val="edge"/>
          <c:x val="0.320640533411489"/>
          <c:y val="0.0305300105300105"/>
        </c:manualLayout>
      </c:layout>
      <c:overlay val="0"/>
      <c:spPr>
        <a:noFill/>
        <a:ln>
          <a:noFill/>
        </a:ln>
        <a:effectLst/>
      </c:spPr>
    </c:title>
    <c:autoTitleDeleted val="0"/>
    <c:plotArea>
      <c:layout>
        <c:manualLayout>
          <c:layoutTarget val="inner"/>
          <c:xMode val="edge"/>
          <c:yMode val="edge"/>
          <c:x val="0.0708792497069168"/>
          <c:y val="0.12702533052533"/>
          <c:w val="0.86535"/>
          <c:h val="0.7169"/>
        </c:manualLayout>
      </c:layout>
      <c:barChart>
        <c:barDir val="col"/>
        <c:grouping val="clustered"/>
        <c:varyColors val="0"/>
        <c:ser>
          <c:idx val="0"/>
          <c:order val="0"/>
          <c:tx>
            <c:strRef>
              <c:f>Sheet1!$B$1</c:f>
              <c:strCache>
                <c:ptCount val="1"/>
                <c:pt idx="0">
                  <c:v>求职 人数(人)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男</c:v>
                </c:pt>
                <c:pt idx="1">
                  <c:v>女</c:v>
                </c:pt>
              </c:strCache>
            </c:strRef>
          </c:cat>
          <c:val>
            <c:numRef>
              <c:f>Sheet1!$B$2:$B$3</c:f>
              <c:numCache>
                <c:formatCode>#,##0</c:formatCode>
                <c:ptCount val="2"/>
                <c:pt idx="0">
                  <c:v>4115</c:v>
                </c:pt>
                <c:pt idx="1">
                  <c:v>3120</c:v>
                </c:pt>
              </c:numCache>
            </c:numRef>
          </c:val>
        </c:ser>
        <c:dLbls>
          <c:showLegendKey val="0"/>
          <c:showVal val="1"/>
          <c:showCatName val="0"/>
          <c:showSerName val="0"/>
          <c:showPercent val="0"/>
          <c:showBubbleSize val="0"/>
        </c:dLbls>
        <c:gapWidth val="150"/>
        <c:overlap val="0"/>
        <c:axId val="613521406"/>
        <c:axId val="629906716"/>
      </c:barChart>
      <c:lineChart>
        <c:grouping val="standard"/>
        <c:varyColors val="0"/>
        <c:ser>
          <c:idx val="2"/>
          <c:order val="2"/>
          <c:tx>
            <c:strRef>
              <c:f>Sheet1!#REF!</c:f>
              <c:strCache>
                <c:ptCount val="1"/>
                <c:pt idx="0">
                  <c:v/>
                </c:pt>
              </c:strCache>
            </c:strRef>
          </c:tx>
          <c:spPr>
            <a:ln w="28575" cap="rnd">
              <a:solidFill>
                <a:schemeClr val="accent6"/>
              </a:solidFill>
              <a:round/>
            </a:ln>
            <a:effectLst/>
          </c:spPr>
          <c:marker>
            <c:symbol val="none"/>
          </c:marker>
          <c:dLbls>
            <c:delete val="1"/>
          </c:dLbls>
          <c:cat>
            <c:strRef>
              <c:f>Sheet1!$A$2:$A$3</c:f>
              <c:strCache>
                <c:ptCount val="2"/>
                <c:pt idx="0">
                  <c:v>男</c:v>
                </c:pt>
                <c:pt idx="1">
                  <c:v>女</c:v>
                </c:pt>
              </c:strCache>
            </c:strRef>
          </c:cat>
          <c:val>
            <c:numRef>
              <c:f>Sheet1!#REF!</c:f>
              <c:numCache>
                <c:formatCode>General</c:formatCode>
                <c:ptCount val="1"/>
                <c:pt idx="0">
                  <c:v>1</c:v>
                </c:pt>
              </c:numCache>
            </c:numRef>
          </c:val>
          <c:smooth val="0"/>
        </c:ser>
        <c:dLbls>
          <c:showLegendKey val="0"/>
          <c:showVal val="1"/>
          <c:showCatName val="0"/>
          <c:showSerName val="0"/>
          <c:showPercent val="0"/>
          <c:showBubbleSize val="0"/>
        </c:dLbls>
        <c:marker val="0"/>
        <c:smooth val="0"/>
        <c:axId val="613521406"/>
        <c:axId val="629906716"/>
      </c:lineChart>
      <c:lineChart>
        <c:grouping val="standard"/>
        <c:varyColors val="0"/>
        <c:ser>
          <c:idx val="1"/>
          <c:order val="1"/>
          <c:tx>
            <c:strRef>
              <c:f>Sheet1!$C$1</c:f>
              <c:strCache>
                <c:ptCount val="1"/>
                <c:pt idx="0">
                  <c:v>求职 比重 (%)</c:v>
                </c:pt>
              </c:strCache>
            </c:strRef>
          </c:tx>
          <c:spPr>
            <a:ln w="28575" cap="rnd">
              <a:solidFill>
                <a:schemeClr val="accent4"/>
              </a:solidFill>
              <a:round/>
            </a:ln>
            <a:effectLst/>
          </c:spPr>
          <c:marker>
            <c:symbol val="none"/>
          </c:marker>
          <c:dLbls>
            <c:dLbl>
              <c:idx val="0"/>
              <c:layout>
                <c:manualLayout>
                  <c:x val="-0.11957796014068"/>
                  <c:y val="-0.044752544752544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mn-Mong-CN" altLang="en-US">
                        <a:cs typeface="Menk Qagan Tig" charset="0"/>
                      </a:rPr>
                      <a:t>5</a:t>
                    </a:r>
                    <a:r>
                      <a:rPr lang="en-US" altLang="mn-Mong-CN">
                        <a:cs typeface="Menk Qagan Tig" charset="0"/>
                      </a:rPr>
                      <a:t>4</a:t>
                    </a:r>
                    <a:r>
                      <a:rPr lang="mn-Mong-CN" altLang="en-US">
                        <a:cs typeface="Menk Qagan Tig" charset="0"/>
                      </a:rPr>
                      <a:t>.</a:t>
                    </a:r>
                    <a:r>
                      <a:rPr lang="en-US" altLang="mn-Mong-CN">
                        <a:cs typeface="Menk Qagan Tig" charset="0"/>
                      </a:rPr>
                      <a:t>7</a:t>
                    </a:r>
                    <a:r>
                      <a:rPr lang="mn-Mong-CN" altLang="en-US">
                        <a:cs typeface="Menk Qagan Tig" charset="0"/>
                      </a:rPr>
                      <a:t>5</a:t>
                    </a:r>
                    <a:r>
                      <a:rPr lang="en-US" altLang="zh-CN"/>
                      <a:t>%</a:t>
                    </a:r>
                    <a:endParaRPr lang="en-US" altLang="zh-CN"/>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433001172332947"/>
                  <c:y val="-0.061608342108342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mn-Mong-CN" altLang="en-US">
                        <a:cs typeface="Menk Qagan Tig" charset="0"/>
                      </a:rPr>
                      <a:t>4</a:t>
                    </a:r>
                    <a:r>
                      <a:rPr lang="en-US" altLang="mn-Mong-CN">
                        <a:cs typeface="Menk Qagan Tig" charset="0"/>
                      </a:rPr>
                      <a:t>5</a:t>
                    </a:r>
                    <a:r>
                      <a:rPr lang="mn-Mong-CN" altLang="en-US">
                        <a:cs typeface="Menk Qagan Tig" charset="0"/>
                      </a:rPr>
                      <a:t>.</a:t>
                    </a:r>
                    <a:r>
                      <a:rPr lang="en-US" altLang="mn-Mong-CN">
                        <a:cs typeface="Menk Qagan Tig" charset="0"/>
                      </a:rPr>
                      <a:t>2</a:t>
                    </a:r>
                    <a:r>
                      <a:rPr lang="mn-Mong-CN" altLang="en-US">
                        <a:cs typeface="Menk Qagan Tig" charset="0"/>
                      </a:rPr>
                      <a:t>5</a:t>
                    </a:r>
                    <a:r>
                      <a:rPr lang="en-US" altLang="zh-CN"/>
                      <a:t>%</a:t>
                    </a:r>
                    <a:endParaRPr lang="en-US" altLang="zh-CN"/>
                  </a:p>
                </c:rich>
              </c:tx>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男</c:v>
                </c:pt>
                <c:pt idx="1">
                  <c:v>女</c:v>
                </c:pt>
              </c:strCache>
            </c:strRef>
          </c:cat>
          <c:val>
            <c:numRef>
              <c:f>Sheet1!$C$2:$C$3</c:f>
              <c:numCache>
                <c:formatCode>#,##0.00</c:formatCode>
                <c:ptCount val="2"/>
                <c:pt idx="0">
                  <c:v>56.88</c:v>
                </c:pt>
                <c:pt idx="1">
                  <c:v>43.12</c:v>
                </c:pt>
              </c:numCache>
            </c:numRef>
          </c:val>
          <c:smooth val="0"/>
        </c:ser>
        <c:dLbls>
          <c:showLegendKey val="0"/>
          <c:showVal val="1"/>
          <c:showCatName val="0"/>
          <c:showSerName val="0"/>
          <c:showPercent val="0"/>
          <c:showBubbleSize val="0"/>
        </c:dLbls>
        <c:marker val="0"/>
        <c:smooth val="0"/>
        <c:axId val="709523982"/>
        <c:axId val="729276405"/>
      </c:lineChart>
      <c:catAx>
        <c:axId val="61352140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9906716"/>
        <c:crosses val="autoZero"/>
        <c:auto val="1"/>
        <c:lblAlgn val="ctr"/>
        <c:lblOffset val="100"/>
        <c:noMultiLvlLbl val="0"/>
      </c:catAx>
      <c:valAx>
        <c:axId val="6299067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3521406"/>
        <c:crosses val="autoZero"/>
        <c:crossBetween val="between"/>
      </c:valAx>
      <c:catAx>
        <c:axId val="709523982"/>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9276405"/>
        <c:crosses val="autoZero"/>
        <c:auto val="1"/>
        <c:lblAlgn val="ctr"/>
        <c:lblOffset val="100"/>
        <c:noMultiLvlLbl val="0"/>
      </c:catAx>
      <c:valAx>
        <c:axId val="729276405"/>
        <c:scaling>
          <c:orientation val="minMax"/>
        </c:scaling>
        <c:delete val="0"/>
        <c:axPos val="r"/>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9523982"/>
        <c:crosses val="max"/>
        <c:crossBetween val="between"/>
      </c:valAx>
      <c:spPr>
        <a:noFill/>
        <a:ln>
          <a:noFill/>
        </a:ln>
        <a:effectLst/>
      </c:spPr>
    </c:plotArea>
    <c:legend>
      <c:legendPos val="b"/>
      <c:legendEntry>
        <c:idx val="1"/>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按年龄分组供求人数</a:t>
            </a:r>
          </a:p>
        </c:rich>
      </c:tx>
      <c:layout/>
      <c:overlay val="1"/>
      <c:spPr>
        <a:noFill/>
        <a:ln>
          <a:noFill/>
        </a:ln>
        <a:effectLst/>
      </c:spPr>
    </c:title>
    <c:autoTitleDeleted val="0"/>
    <c:plotArea>
      <c:layout>
        <c:manualLayout>
          <c:layoutTarget val="inner"/>
          <c:xMode val="edge"/>
          <c:yMode val="edge"/>
          <c:x val="0.0554389140271493"/>
          <c:y val="0.102750809061489"/>
          <c:w val="0.902515837104072"/>
          <c:h val="0.770685005393743"/>
        </c:manualLayout>
      </c:layout>
      <c:barChart>
        <c:barDir val="col"/>
        <c:grouping val="clustered"/>
        <c:varyColors val="0"/>
        <c:ser>
          <c:idx val="0"/>
          <c:order val="0"/>
          <c:tx>
            <c:strRef>
              <c:f>Sheet1!$B$1</c:f>
              <c:strCache>
                <c:ptCount val="1"/>
                <c:pt idx="0">
                  <c:v>需求人数 (人)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16-24岁</c:v>
                </c:pt>
                <c:pt idx="1">
                  <c:v>25-34岁</c:v>
                </c:pt>
                <c:pt idx="2">
                  <c:v>35-44岁</c:v>
                </c:pt>
                <c:pt idx="3">
                  <c:v>45岁以上</c:v>
                </c:pt>
                <c:pt idx="4">
                  <c:v>无要求</c:v>
                </c:pt>
              </c:strCache>
            </c:strRef>
          </c:cat>
          <c:val>
            <c:numRef>
              <c:f>Sheet1!$B$2:$B$6</c:f>
              <c:numCache>
                <c:formatCode>#,##0</c:formatCode>
                <c:ptCount val="5"/>
                <c:pt idx="0">
                  <c:v>806</c:v>
                </c:pt>
                <c:pt idx="1">
                  <c:v>3545</c:v>
                </c:pt>
                <c:pt idx="2">
                  <c:v>3697</c:v>
                </c:pt>
                <c:pt idx="3">
                  <c:v>683</c:v>
                </c:pt>
                <c:pt idx="4">
                  <c:v>2819</c:v>
                </c:pt>
              </c:numCache>
            </c:numRef>
          </c:val>
        </c:ser>
        <c:ser>
          <c:idx val="2"/>
          <c:order val="2"/>
          <c:tx>
            <c:strRef>
              <c:f>Sheet1!$D$1</c:f>
              <c:strCache>
                <c:ptCount val="1"/>
                <c:pt idx="0">
                  <c:v>求职人数 (人)</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16-24岁</c:v>
                </c:pt>
                <c:pt idx="1">
                  <c:v>25-34岁</c:v>
                </c:pt>
                <c:pt idx="2">
                  <c:v>35-44岁</c:v>
                </c:pt>
                <c:pt idx="3">
                  <c:v>45岁以上</c:v>
                </c:pt>
                <c:pt idx="4">
                  <c:v>无要求</c:v>
                </c:pt>
              </c:strCache>
            </c:strRef>
          </c:cat>
          <c:val>
            <c:numRef>
              <c:f>Sheet1!$D$2:$D$6</c:f>
              <c:numCache>
                <c:formatCode>#,##0</c:formatCode>
                <c:ptCount val="5"/>
                <c:pt idx="0">
                  <c:v>603</c:v>
                </c:pt>
                <c:pt idx="1">
                  <c:v>1994</c:v>
                </c:pt>
                <c:pt idx="2">
                  <c:v>2343</c:v>
                </c:pt>
                <c:pt idx="3">
                  <c:v>2295</c:v>
                </c:pt>
                <c:pt idx="4" c:formatCode="General">
                  <c:v>0</c:v>
                </c:pt>
              </c:numCache>
            </c:numRef>
          </c:val>
        </c:ser>
        <c:dLbls>
          <c:showLegendKey val="0"/>
          <c:showVal val="1"/>
          <c:showCatName val="0"/>
          <c:showSerName val="0"/>
          <c:showPercent val="0"/>
          <c:showBubbleSize val="0"/>
        </c:dLbls>
        <c:gapWidth val="219"/>
        <c:overlap val="-27"/>
        <c:axId val="663119177"/>
        <c:axId val="783325124"/>
      </c:barChart>
      <c:lineChart>
        <c:grouping val="standard"/>
        <c:varyColors val="0"/>
        <c:ser>
          <c:idx val="1"/>
          <c:order val="1"/>
          <c:tx>
            <c:strRef>
              <c:f>Sheet1!$C$1</c:f>
              <c:strCache>
                <c:ptCount val="1"/>
                <c:pt idx="0">
                  <c:v>需求比重(%)</c:v>
                </c:pt>
              </c:strCache>
            </c:strRef>
          </c:tx>
          <c:spPr>
            <a:ln w="28575" cap="rnd">
              <a:solidFill>
                <a:schemeClr val="accent4"/>
              </a:solidFill>
              <a:round/>
            </a:ln>
            <a:effectLst/>
          </c:spPr>
          <c:marker>
            <c:symbol val="none"/>
          </c:marker>
          <c:dLbls>
            <c:dLbl>
              <c:idx val="0"/>
              <c:layout>
                <c:manualLayout>
                  <c:x val="-0.0593683210638803"/>
                  <c:y val="-0.03427054422589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791577614185071"/>
                  <c:y val="-0.034149873295523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a:t>
                    </a:r>
                    <a:r>
                      <a:rPr lang="mn-Mong-CN" altLang="en-US">
                        <a:cs typeface="Menk Qagan Tig" charset="0"/>
                      </a:rPr>
                      <a:t>0</a:t>
                    </a:r>
                    <a:r>
                      <a:rPr lang="en-US" altLang="mn-Mong-CN">
                        <a:cs typeface="Menk Qagan Tig" charset="0"/>
                      </a:rPr>
                      <a:t>.</a:t>
                    </a:r>
                    <a:r>
                      <a:rPr lang="mn-Mong-CN" altLang="en-US">
                        <a:cs typeface="Menk Qagan Tig" charset="0"/>
                      </a:rPr>
                      <a:t>6</a:t>
                    </a:r>
                    <a:r>
                      <a:rPr lang="en-US" altLang="mn-Mong-CN">
                        <a:cs typeface="Menk Qagan Tig" charset="0"/>
                      </a:rPr>
                      <a:t>9</a:t>
                    </a:r>
                    <a:r>
                      <a:rPr lang="en-US" altLang="zh-CN"/>
                      <a:t>%</a:t>
                    </a:r>
                    <a:endParaRPr lang="en-US" altLang="zh-CN"/>
                  </a:p>
                </c:rich>
              </c:tx>
              <c:numFmt formatCode="_ * #,##0.00_ ;_ * \-#,##0.00_ ;_ * &quot;-&quot;??_ ;_ @_ "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16049233739592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16-24岁</c:v>
                </c:pt>
                <c:pt idx="1">
                  <c:v>25-34岁</c:v>
                </c:pt>
                <c:pt idx="2">
                  <c:v>35-44岁</c:v>
                </c:pt>
                <c:pt idx="3">
                  <c:v>45岁以上</c:v>
                </c:pt>
                <c:pt idx="4">
                  <c:v>无要求</c:v>
                </c:pt>
              </c:strCache>
            </c:strRef>
          </c:cat>
          <c:val>
            <c:numRef>
              <c:f>Sheet1!$C$2:$C$6</c:f>
              <c:numCache>
                <c:formatCode>#,##0.00</c:formatCode>
                <c:ptCount val="5"/>
                <c:pt idx="0">
                  <c:v>6.98</c:v>
                </c:pt>
                <c:pt idx="1">
                  <c:v>30.69</c:v>
                </c:pt>
                <c:pt idx="2">
                  <c:v>32.01</c:v>
                </c:pt>
                <c:pt idx="3">
                  <c:v>5.91</c:v>
                </c:pt>
                <c:pt idx="4">
                  <c:v>24.41</c:v>
                </c:pt>
              </c:numCache>
            </c:numRef>
          </c:val>
          <c:smooth val="0"/>
        </c:ser>
        <c:ser>
          <c:idx val="3"/>
          <c:order val="3"/>
          <c:tx>
            <c:strRef>
              <c:f>Sheet1!$E$1</c:f>
              <c:strCache>
                <c:ptCount val="1"/>
                <c:pt idx="0">
                  <c:v>求职比重(%)</c:v>
                </c:pt>
              </c:strCache>
            </c:strRef>
          </c:tx>
          <c:spPr>
            <a:ln w="28575" cap="rnd">
              <a:solidFill>
                <a:schemeClr val="accent2">
                  <a:lumMod val="60000"/>
                </a:schemeClr>
              </a:solidFill>
              <a:round/>
            </a:ln>
            <a:effectLst/>
          </c:spPr>
          <c:marker>
            <c:symbol val="none"/>
          </c:marker>
          <c:dLbls>
            <c:dLbl>
              <c:idx val="2"/>
              <c:layout>
                <c:manualLayout>
                  <c:x val="-0.0383123565265574"/>
                  <c:y val="-0.050319777965488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16-24岁</c:v>
                </c:pt>
                <c:pt idx="1">
                  <c:v>25-34岁</c:v>
                </c:pt>
                <c:pt idx="2">
                  <c:v>35-44岁</c:v>
                </c:pt>
                <c:pt idx="3">
                  <c:v>45岁以上</c:v>
                </c:pt>
                <c:pt idx="4">
                  <c:v>无要求</c:v>
                </c:pt>
              </c:strCache>
            </c:strRef>
          </c:cat>
          <c:val>
            <c:numRef>
              <c:f>Sheet1!$E$2:$E$6</c:f>
              <c:numCache>
                <c:formatCode>#,##0.00</c:formatCode>
                <c:ptCount val="5"/>
                <c:pt idx="0">
                  <c:v>8.33</c:v>
                </c:pt>
                <c:pt idx="1">
                  <c:v>27.56</c:v>
                </c:pt>
                <c:pt idx="2">
                  <c:v>32.38</c:v>
                </c:pt>
                <c:pt idx="3">
                  <c:v>31.72</c:v>
                </c:pt>
                <c:pt idx="4" c:formatCode="General">
                  <c:v>0</c:v>
                </c:pt>
              </c:numCache>
            </c:numRef>
          </c:val>
          <c:smooth val="0"/>
        </c:ser>
        <c:dLbls>
          <c:showLegendKey val="0"/>
          <c:showVal val="1"/>
          <c:showCatName val="0"/>
          <c:showSerName val="0"/>
          <c:showPercent val="0"/>
          <c:showBubbleSize val="0"/>
        </c:dLbls>
        <c:marker val="0"/>
        <c:smooth val="0"/>
        <c:axId val="828197396"/>
        <c:axId val="626198403"/>
      </c:lineChart>
      <c:catAx>
        <c:axId val="66311917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3325124"/>
        <c:crosses val="autoZero"/>
        <c:auto val="1"/>
        <c:lblAlgn val="ctr"/>
        <c:lblOffset val="100"/>
        <c:noMultiLvlLbl val="0"/>
      </c:catAx>
      <c:valAx>
        <c:axId val="7833251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3119177"/>
        <c:crosses val="autoZero"/>
        <c:crossBetween val="between"/>
      </c:valAx>
      <c:catAx>
        <c:axId val="828197396"/>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6198403"/>
        <c:crosses val="autoZero"/>
        <c:auto val="1"/>
        <c:lblAlgn val="ctr"/>
        <c:lblOffset val="100"/>
        <c:noMultiLvlLbl val="0"/>
      </c:catAx>
      <c:valAx>
        <c:axId val="626198403"/>
        <c:scaling>
          <c:orientation val="minMax"/>
        </c:scaling>
        <c:delete val="0"/>
        <c:axPos val="r"/>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8197396"/>
        <c:crosses val="max"/>
        <c:crossBetween val="between"/>
      </c:valAx>
      <c:spPr>
        <a:noFill/>
        <a:ln>
          <a:noFill/>
        </a:ln>
        <a:effectLst/>
      </c:spPr>
    </c:plotArea>
    <c:legend>
      <c:legendPos val="b"/>
      <c:layout>
        <c:manualLayout>
          <c:xMode val="edge"/>
          <c:yMode val="edge"/>
          <c:x val="0.202268569337724"/>
          <c:y val="0.926246350167622"/>
          <c:w val="0.591511159897548"/>
          <c:h val="0.060776468043689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按文化程度分组的供求人数</a:t>
            </a:r>
          </a:p>
        </c:rich>
      </c:tx>
      <c:layout>
        <c:manualLayout>
          <c:xMode val="edge"/>
          <c:yMode val="edge"/>
          <c:x val="0.36710813454737"/>
          <c:y val="0.0190421234852856"/>
        </c:manualLayout>
      </c:layout>
      <c:overlay val="0"/>
      <c:spPr>
        <a:noFill/>
        <a:ln>
          <a:noFill/>
        </a:ln>
        <a:effectLst/>
      </c:spPr>
    </c:title>
    <c:autoTitleDeleted val="0"/>
    <c:plotArea>
      <c:layout>
        <c:manualLayout>
          <c:layoutTarget val="inner"/>
          <c:xMode val="edge"/>
          <c:yMode val="edge"/>
          <c:x val="0.0397358517361358"/>
          <c:y val="0.0147888073199277"/>
          <c:w val="0.912504437974863"/>
          <c:h val="0.683093946164486"/>
        </c:manualLayout>
      </c:layout>
      <c:barChart>
        <c:barDir val="col"/>
        <c:grouping val="clustered"/>
        <c:varyColors val="0"/>
        <c:ser>
          <c:idx val="0"/>
          <c:order val="0"/>
          <c:tx>
            <c:strRef>
              <c:f>Sheet1!$B$1</c:f>
              <c:strCache>
                <c:ptCount val="1"/>
                <c:pt idx="0">
                  <c:v>需求人数 (人)</c:v>
                </c:pt>
              </c:strCache>
            </c:strRef>
          </c:tx>
          <c:spPr>
            <a:solidFill>
              <a:schemeClr val="accent2"/>
            </a:solidFill>
            <a:ln>
              <a:noFill/>
            </a:ln>
            <a:effectLst/>
          </c:spPr>
          <c:invertIfNegative val="0"/>
          <c:dLbls>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初中及以下</c:v>
                </c:pt>
                <c:pt idx="1">
                  <c:v>高中</c:v>
                </c:pt>
                <c:pt idx="2">
                  <c:v>其中：职高、技校、中专</c:v>
                </c:pt>
                <c:pt idx="3">
                  <c:v>大专</c:v>
                </c:pt>
                <c:pt idx="4">
                  <c:v>本科</c:v>
                </c:pt>
                <c:pt idx="5">
                  <c:v>硕士以上</c:v>
                </c:pt>
                <c:pt idx="6">
                  <c:v>无要求</c:v>
                </c:pt>
              </c:strCache>
            </c:strRef>
          </c:cat>
          <c:val>
            <c:numRef>
              <c:f>Sheet1!$B$2:$B$8</c:f>
              <c:numCache>
                <c:formatCode>#,##0</c:formatCode>
                <c:ptCount val="7"/>
                <c:pt idx="0">
                  <c:v>287</c:v>
                </c:pt>
                <c:pt idx="1">
                  <c:v>1667</c:v>
                </c:pt>
                <c:pt idx="2">
                  <c:v>866</c:v>
                </c:pt>
                <c:pt idx="3">
                  <c:v>2968</c:v>
                </c:pt>
                <c:pt idx="4">
                  <c:v>1819</c:v>
                </c:pt>
                <c:pt idx="5">
                  <c:v>20</c:v>
                </c:pt>
                <c:pt idx="6">
                  <c:v>4789</c:v>
                </c:pt>
              </c:numCache>
            </c:numRef>
          </c:val>
        </c:ser>
        <c:ser>
          <c:idx val="2"/>
          <c:order val="2"/>
          <c:tx>
            <c:strRef>
              <c:f>Sheet1!$D$1</c:f>
              <c:strCache>
                <c:ptCount val="1"/>
                <c:pt idx="0">
                  <c:v>求职人数 (人)</c:v>
                </c:pt>
              </c:strCache>
            </c:strRef>
          </c:tx>
          <c:spPr>
            <a:solidFill>
              <a:schemeClr val="accent6"/>
            </a:solidFill>
            <a:ln>
              <a:noFill/>
            </a:ln>
            <a:effectLst/>
          </c:spPr>
          <c:invertIfNegative val="0"/>
          <c:dLbls>
            <c:dLbl>
              <c:idx val="4"/>
              <c:layout>
                <c:manualLayout>
                  <c:x val="0.00112875310407104"/>
                  <c:y val="0.0605885747259088"/>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初中及以下</c:v>
                </c:pt>
                <c:pt idx="1">
                  <c:v>高中</c:v>
                </c:pt>
                <c:pt idx="2">
                  <c:v>其中：职高、技校、中专</c:v>
                </c:pt>
                <c:pt idx="3">
                  <c:v>大专</c:v>
                </c:pt>
                <c:pt idx="4">
                  <c:v>本科</c:v>
                </c:pt>
                <c:pt idx="5">
                  <c:v>硕士以上</c:v>
                </c:pt>
                <c:pt idx="6">
                  <c:v>无要求</c:v>
                </c:pt>
              </c:strCache>
            </c:strRef>
          </c:cat>
          <c:val>
            <c:numRef>
              <c:f>Sheet1!$D$2:$D$8</c:f>
              <c:numCache>
                <c:formatCode>#,##0</c:formatCode>
                <c:ptCount val="7"/>
                <c:pt idx="0">
                  <c:v>1695</c:v>
                </c:pt>
                <c:pt idx="1">
                  <c:v>2361</c:v>
                </c:pt>
                <c:pt idx="2">
                  <c:v>633</c:v>
                </c:pt>
                <c:pt idx="3">
                  <c:v>1718</c:v>
                </c:pt>
                <c:pt idx="4">
                  <c:v>1453</c:v>
                </c:pt>
                <c:pt idx="5">
                  <c:v>8</c:v>
                </c:pt>
              </c:numCache>
            </c:numRef>
          </c:val>
        </c:ser>
        <c:dLbls>
          <c:showLegendKey val="0"/>
          <c:showVal val="1"/>
          <c:showCatName val="0"/>
          <c:showSerName val="0"/>
          <c:showPercent val="0"/>
          <c:showBubbleSize val="0"/>
        </c:dLbls>
        <c:gapWidth val="219"/>
        <c:overlap val="-27"/>
        <c:axId val="998641018"/>
        <c:axId val="828969104"/>
      </c:barChart>
      <c:lineChart>
        <c:grouping val="standard"/>
        <c:varyColors val="0"/>
        <c:ser>
          <c:idx val="1"/>
          <c:order val="1"/>
          <c:tx>
            <c:strRef>
              <c:f>Sheet1!$C$1</c:f>
              <c:strCache>
                <c:ptCount val="1"/>
                <c:pt idx="0">
                  <c:v>需求比重(%)</c:v>
                </c:pt>
              </c:strCache>
            </c:strRef>
          </c:tx>
          <c:spPr>
            <a:ln w="28575" cap="rnd">
              <a:solidFill>
                <a:schemeClr val="accent4"/>
              </a:solidFill>
              <a:round/>
            </a:ln>
            <a:effectLst/>
          </c:spPr>
          <c:marker>
            <c:symbol val="none"/>
          </c:marker>
          <c:dLbls>
            <c:dLbl>
              <c:idx val="0"/>
              <c:layout>
                <c:manualLayout>
                  <c:x val="-0.0583637944030122"/>
                  <c:y val="-0.06081997771797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32938925285233"/>
                  <c:y val="-0.047361977035653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669246742970615"/>
                  <c:y val="-0.018147073017982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17819299764631"/>
                  <c:y val="0.030858213974341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18582688347653"/>
                  <c:y val="-0.033726992233216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809037881674454"/>
                  <c:y val="-0.0080265012048094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初中及以下</c:v>
                </c:pt>
                <c:pt idx="1">
                  <c:v>高中</c:v>
                </c:pt>
                <c:pt idx="2">
                  <c:v>其中：职高、技校、中专</c:v>
                </c:pt>
                <c:pt idx="3">
                  <c:v>大专</c:v>
                </c:pt>
                <c:pt idx="4">
                  <c:v>本科</c:v>
                </c:pt>
                <c:pt idx="5">
                  <c:v>硕士以上</c:v>
                </c:pt>
                <c:pt idx="6">
                  <c:v>无要求</c:v>
                </c:pt>
              </c:strCache>
            </c:strRef>
          </c:cat>
          <c:val>
            <c:numRef>
              <c:f>Sheet1!$C$2:$C$8</c:f>
              <c:numCache>
                <c:formatCode>#,##0.00</c:formatCode>
                <c:ptCount val="7"/>
                <c:pt idx="0">
                  <c:v>2.48</c:v>
                </c:pt>
                <c:pt idx="1">
                  <c:v>14.43</c:v>
                </c:pt>
                <c:pt idx="2">
                  <c:v>51.95</c:v>
                </c:pt>
                <c:pt idx="3">
                  <c:v>25.7</c:v>
                </c:pt>
                <c:pt idx="4">
                  <c:v>15.75</c:v>
                </c:pt>
                <c:pt idx="5">
                  <c:v>0.17</c:v>
                </c:pt>
                <c:pt idx="6">
                  <c:v>41.46</c:v>
                </c:pt>
              </c:numCache>
            </c:numRef>
          </c:val>
          <c:smooth val="0"/>
        </c:ser>
        <c:ser>
          <c:idx val="3"/>
          <c:order val="3"/>
          <c:tx>
            <c:strRef>
              <c:f>Sheet1!$E$1</c:f>
              <c:strCache>
                <c:ptCount val="1"/>
                <c:pt idx="0">
                  <c:v>求职比重 (%)</c:v>
                </c:pt>
              </c:strCache>
            </c:strRef>
          </c:tx>
          <c:spPr>
            <a:ln w="28575" cap="rnd">
              <a:solidFill>
                <a:schemeClr val="accent2">
                  <a:lumMod val="60000"/>
                </a:schemeClr>
              </a:solidFill>
              <a:round/>
            </a:ln>
            <a:effectLst/>
          </c:spPr>
          <c:marker>
            <c:symbol val="none"/>
          </c:marker>
          <c:dLbls>
            <c:dLbl>
              <c:idx val="0"/>
              <c:layout>
                <c:manualLayout>
                  <c:x val="-0.012040033110091"/>
                  <c:y val="-0.046471138137186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616339430146101"/>
                  <c:y val="-0.032544720138488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30895405808422"/>
                  <c:y val="0.058516863496116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120712916282042"/>
                  <c:y val="-0.053197148632833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11274621005564"/>
                  <c:y val="-0.0538579843026355"/>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0472571299571074"/>
                      <c:h val="0.045931909982689"/>
                    </c:manualLayout>
                  </c15:layout>
                </c:ext>
              </c:extLst>
            </c:dLbl>
            <c:dLbl>
              <c:idx val="5"/>
              <c:layout>
                <c:manualLayout>
                  <c:x val="0.0116539663663796"/>
                  <c:y val="-0.036868601569441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初中及以下</c:v>
                </c:pt>
                <c:pt idx="1">
                  <c:v>高中</c:v>
                </c:pt>
                <c:pt idx="2">
                  <c:v>其中：职高、技校、中专</c:v>
                </c:pt>
                <c:pt idx="3">
                  <c:v>大专</c:v>
                </c:pt>
                <c:pt idx="4">
                  <c:v>本科</c:v>
                </c:pt>
                <c:pt idx="5">
                  <c:v>硕士以上</c:v>
                </c:pt>
                <c:pt idx="6">
                  <c:v>无要求</c:v>
                </c:pt>
              </c:strCache>
            </c:strRef>
          </c:cat>
          <c:val>
            <c:numRef>
              <c:f>Sheet1!$E$2:$E$8</c:f>
              <c:numCache>
                <c:formatCode>#,##0.00</c:formatCode>
                <c:ptCount val="7"/>
                <c:pt idx="0">
                  <c:v>23.43</c:v>
                </c:pt>
                <c:pt idx="1">
                  <c:v>32.63</c:v>
                </c:pt>
                <c:pt idx="2">
                  <c:v>26.81</c:v>
                </c:pt>
                <c:pt idx="3">
                  <c:v>23.75</c:v>
                </c:pt>
                <c:pt idx="4">
                  <c:v>20.08</c:v>
                </c:pt>
                <c:pt idx="5">
                  <c:v>0.11</c:v>
                </c:pt>
              </c:numCache>
            </c:numRef>
          </c:val>
          <c:smooth val="0"/>
        </c:ser>
        <c:dLbls>
          <c:showLegendKey val="0"/>
          <c:showVal val="1"/>
          <c:showCatName val="0"/>
          <c:showSerName val="0"/>
          <c:showPercent val="0"/>
          <c:showBubbleSize val="0"/>
        </c:dLbls>
        <c:marker val="0"/>
        <c:smooth val="0"/>
        <c:axId val="578059096"/>
        <c:axId val="125148315"/>
      </c:lineChart>
      <c:catAx>
        <c:axId val="99864101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a:outerShdw blurRad="50800" dist="50800" dir="5400000" sx="1000" sy="1000" algn="ctr" rotWithShape="0">
              <a:schemeClr val="tx1">
                <a:alpha val="43000"/>
              </a:schemeClr>
            </a:outerShdw>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8969104"/>
        <c:crosses val="autoZero"/>
        <c:auto val="1"/>
        <c:lblAlgn val="ctr"/>
        <c:lblOffset val="100"/>
        <c:noMultiLvlLbl val="0"/>
      </c:catAx>
      <c:valAx>
        <c:axId val="8289691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8641018"/>
        <c:crosses val="autoZero"/>
        <c:crossBetween val="between"/>
      </c:valAx>
      <c:catAx>
        <c:axId val="578059096"/>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5148315"/>
        <c:crosses val="autoZero"/>
        <c:auto val="1"/>
        <c:lblAlgn val="ctr"/>
        <c:lblOffset val="100"/>
        <c:noMultiLvlLbl val="0"/>
      </c:catAx>
      <c:valAx>
        <c:axId val="125148315"/>
        <c:scaling>
          <c:orientation val="minMax"/>
        </c:scaling>
        <c:delete val="0"/>
        <c:axPos val="r"/>
        <c:numFmt formatCode="#,##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8059096"/>
        <c:crosses val="max"/>
        <c:crossBetween val="between"/>
      </c:valAx>
      <c:spPr>
        <a:noFill/>
        <a:ln>
          <a:noFill/>
        </a:ln>
        <a:effectLst/>
      </c:spPr>
    </c:plotArea>
    <c:legend>
      <c:legendPos val="b"/>
      <c:layout>
        <c:manualLayout>
          <c:xMode val="edge"/>
          <c:yMode val="edge"/>
          <c:x val="0.274373357949301"/>
          <c:y val="0.903925949569103"/>
          <c:w val="0.538450614215721"/>
          <c:h val="0.083306734759016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7066</Words>
  <Characters>10545</Characters>
  <Lines>0</Lines>
  <Paragraphs>0</Paragraphs>
  <TotalTime>20</TotalTime>
  <ScaleCrop>false</ScaleCrop>
  <LinksUpToDate>false</LinksUpToDate>
  <CharactersWithSpaces>10677</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2014-11-06T20:08:00Z</dcterms:created>
  <dc:creator>cindydoudou</dc:creator>
  <cp:lastModifiedBy>inspur</cp:lastModifiedBy>
  <cp:lastPrinted>2024-11-28T19:46:00Z</cp:lastPrinted>
  <dcterms:modified xsi:type="dcterms:W3CDTF">2024-11-29T15:23:48Z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9063ED3C16E5446C8113E1F66765B513</vt:lpwstr>
  </property>
</Properties>
</file>