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锡林郭勒盟2024年二季度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b/>
          <w:bCs/>
          <w:color w:val="auto"/>
          <w:sz w:val="32"/>
          <w:szCs w:val="32"/>
        </w:rPr>
      </w:pPr>
      <w:r>
        <w:rPr>
          <w:rFonts w:hint="eastAsia" w:ascii="方正小标宋简体" w:hAnsi="方正小标宋简体" w:eastAsia="方正小标宋简体" w:cs="方正小标宋简体"/>
          <w:b w:val="0"/>
          <w:bCs w:val="0"/>
          <w:color w:val="auto"/>
          <w:sz w:val="44"/>
          <w:szCs w:val="44"/>
          <w:lang w:val="en-US" w:eastAsia="zh-CN"/>
        </w:rPr>
        <w:t>人力资源市场供求状况分析报告</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lang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供求总体情况</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全盟第二季度需求人数15031人，求职人数11697人，求人倍率为1.29，市场用工需求略大于劳动力供给。</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与上一季度相比，需求人数增加了7784人，环比上升107.41%，求职人数增加了5999人，环比上升105.28%；求人倍率与上季度相比环比上升0.02。</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28"/>
          <w:szCs w:val="28"/>
          <w:lang w:val="en-US" w:eastAsia="zh-CN" w:bidi="ar-SA"/>
        </w:rPr>
      </w:pPr>
      <w:r>
        <w:rPr>
          <w:rFonts w:hint="eastAsia" w:ascii="仿宋_GB2312" w:hAnsi="仿宋_GB2312" w:eastAsia="仿宋_GB2312" w:cs="仿宋_GB2312"/>
          <w:color w:val="auto"/>
          <w:kern w:val="2"/>
          <w:sz w:val="32"/>
          <w:szCs w:val="32"/>
          <w:lang w:val="en-US" w:eastAsia="zh-CN" w:bidi="ar-SA"/>
        </w:rPr>
        <w:t>与去年同期相比，需求人数增加了1528人，同比上升11.32%，求职人数增加了2649人，同比上升29.28%，求人倍率与去年同期同比下降0.2。</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表1. 供求总体情况</w:t>
      </w:r>
    </w:p>
    <w:tbl>
      <w:tblPr>
        <w:tblStyle w:val="9"/>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400"/>
        <w:gridCol w:w="1630"/>
        <w:gridCol w:w="1564"/>
        <w:gridCol w:w="1181"/>
        <w:gridCol w:w="1482"/>
        <w:gridCol w:w="16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235" w:hRule="atLeast"/>
          <w:tblCellSpacing w:w="0" w:type="dxa"/>
          <w:jc w:val="center"/>
        </w:trPr>
        <w:tc>
          <w:tcPr>
            <w:tcW w:w="7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p>
        </w:tc>
        <w:tc>
          <w:tcPr>
            <w:tcW w:w="9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需求人数(人)</w:t>
            </w:r>
          </w:p>
        </w:tc>
        <w:tc>
          <w:tcPr>
            <w:tcW w:w="87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求职人数(人)</w:t>
            </w:r>
          </w:p>
        </w:tc>
        <w:tc>
          <w:tcPr>
            <w:tcW w:w="66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求人倍率</w:t>
            </w:r>
          </w:p>
        </w:tc>
        <w:tc>
          <w:tcPr>
            <w:tcW w:w="8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与上季度相比变化(%)</w:t>
            </w:r>
          </w:p>
        </w:tc>
        <w:tc>
          <w:tcPr>
            <w:tcW w:w="92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63" w:hRule="atLeast"/>
          <w:tblCellSpacing w:w="0" w:type="dxa"/>
          <w:jc w:val="center"/>
        </w:trPr>
        <w:tc>
          <w:tcPr>
            <w:tcW w:w="7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本期有效数</w:t>
            </w:r>
          </w:p>
        </w:tc>
        <w:tc>
          <w:tcPr>
            <w:tcW w:w="9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15031</w:t>
            </w:r>
          </w:p>
        </w:tc>
        <w:tc>
          <w:tcPr>
            <w:tcW w:w="87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11697</w:t>
            </w:r>
          </w:p>
        </w:tc>
        <w:tc>
          <w:tcPr>
            <w:tcW w:w="66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1.29</w:t>
            </w:r>
          </w:p>
        </w:tc>
        <w:tc>
          <w:tcPr>
            <w:tcW w:w="8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0.02</w:t>
            </w:r>
          </w:p>
        </w:tc>
        <w:tc>
          <w:tcPr>
            <w:tcW w:w="92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-0.2</w:t>
            </w:r>
          </w:p>
        </w:tc>
      </w:tr>
    </w:tbl>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黑体" w:hAnsi="黑体" w:eastAsia="黑体" w:cs="黑体"/>
          <w:b w:val="0"/>
          <w:bCs w:val="0"/>
          <w:color w:val="auto"/>
          <w:sz w:val="32"/>
          <w:szCs w:val="32"/>
          <w:lang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二、按产业、行业劳动力需求</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本期第一产业需求人数227人，第二产业需求人数2455人，第三产业需求人数12349人；第一产业所占比重仅1.51%，第二产业占16.33%，第三产业占82.16%。</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与上一季度相比，第一产业需求环比增加了23.37%，第二产业环比增加了94.69%，第三产业环比增加了112.84%。</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28"/>
          <w:szCs w:val="28"/>
          <w:lang w:val="en-US" w:eastAsia="zh-CN" w:bidi="ar-SA"/>
        </w:rPr>
      </w:pPr>
      <w:r>
        <w:rPr>
          <w:rFonts w:hint="eastAsia" w:ascii="仿宋_GB2312" w:hAnsi="仿宋_GB2312" w:eastAsia="仿宋_GB2312" w:cs="仿宋_GB2312"/>
          <w:color w:val="auto"/>
          <w:kern w:val="2"/>
          <w:sz w:val="32"/>
          <w:szCs w:val="32"/>
          <w:lang w:val="en-US" w:eastAsia="zh-CN" w:bidi="ar-SA"/>
        </w:rPr>
        <w:t>与去年同期相比，第一产业需求同比减少了12.36%，第二产业同比减少了2.04%，第三产业同比增加了15%。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eastAsia="宋体"/>
          <w:color w:val="auto"/>
          <w:lang w:eastAsia="zh-CN"/>
        </w:rPr>
      </w:pPr>
      <w:r>
        <w:rPr>
          <w:rFonts w:hint="eastAsia" w:ascii="Times New Roman" w:hAnsi="Times New Roman" w:eastAsia="仿宋_GB2312" w:cs="Times New Roman"/>
          <w:color w:val="auto"/>
          <w:kern w:val="2"/>
          <w:sz w:val="28"/>
          <w:szCs w:val="28"/>
          <w:lang w:val="en-US" w:eastAsia="zh-CN" w:bidi="ar-SA"/>
        </w:rPr>
        <w:t>表2. 按产业分组的需求人数</w:t>
      </w:r>
    </w:p>
    <w:tbl>
      <w:tblPr>
        <w:tblStyle w:val="9"/>
        <w:tblpPr w:leftFromText="180" w:rightFromText="180" w:vertAnchor="text" w:horzAnchor="page" w:tblpX="1664" w:tblpY="162"/>
        <w:tblOverlap w:val="never"/>
        <w:tblW w:w="4998"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792"/>
        <w:gridCol w:w="1425"/>
        <w:gridCol w:w="1389"/>
        <w:gridCol w:w="2116"/>
        <w:gridCol w:w="21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产业</w:t>
            </w:r>
          </w:p>
        </w:tc>
        <w:tc>
          <w:tcPr>
            <w:tcW w:w="8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需求人数 (人)</w:t>
            </w:r>
          </w:p>
        </w:tc>
        <w:tc>
          <w:tcPr>
            <w:tcW w:w="78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所占比重 (%)</w:t>
            </w:r>
          </w:p>
        </w:tc>
        <w:tc>
          <w:tcPr>
            <w:tcW w:w="118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与上季度相比需求变化(%)</w:t>
            </w:r>
          </w:p>
        </w:tc>
        <w:tc>
          <w:tcPr>
            <w:tcW w:w="122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与去年同期相比需求变化(%)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bookmarkStart w:id="0" w:name="OLE_LINK2" w:colFirst="1" w:colLast="1"/>
            <w:r>
              <w:rPr>
                <w:rFonts w:hint="eastAsia" w:ascii="Times New Roman" w:hAnsi="Times New Roman" w:eastAsia="仿宋_GB2312" w:cs="Times New Roman"/>
                <w:b/>
                <w:bCs/>
                <w:color w:val="auto"/>
                <w:kern w:val="2"/>
                <w:sz w:val="24"/>
                <w:szCs w:val="24"/>
                <w:lang w:val="en-US" w:eastAsia="zh-CN" w:bidi="ar-SA"/>
              </w:rPr>
              <w:t>第一产业</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227</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1.51</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23.37</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第二产业</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2,455</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16.33</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94.69</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第三产业</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12,349</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82.16</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112.84</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合计</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15,031</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107.41</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11.32</w:t>
            </w:r>
          </w:p>
        </w:tc>
      </w:tr>
      <w:bookmarkEnd w:id="0"/>
    </w:tbl>
    <w:p>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rPr>
          <w:rFonts w:hint="eastAsia" w:eastAsia="宋体"/>
          <w:color w:val="C00000"/>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rPr>
          <w:color w:val="C00000"/>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eastAsia="宋体"/>
          <w:color w:val="C00000"/>
          <w:lang w:eastAsia="zh-CN"/>
        </w:rPr>
        <w:drawing>
          <wp:inline distT="0" distB="0" distL="114300" distR="114300">
            <wp:extent cx="5306695" cy="3552825"/>
            <wp:effectExtent l="4445" t="4445" r="22860"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按行业分，居民服务、修理和其他服务业占比23.39%，住宿和餐饮业占比19.14%，批发和零售业占比17.22%，制造业占比8.43%，交通运输、仓储和邮政业占比6.15%，建筑业占比5.42%，教育占比4.47%，采矿业占比2.93%，信息传输、软件和信息技术服务业占比2.83%，电力、热力、燃气及水生产和供应业占比2.69%，租赁和商务服务业占比2.65%，农、林、牧、渔业占比1.74%。</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与上季度相比，金融业，科学研究和技术服务业，水利、环境和公共设施管理业需求有所下降，其余等与上季度相比均有所上升。</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color w:val="auto"/>
          <w:sz w:val="28"/>
          <w:szCs w:val="28"/>
        </w:rPr>
      </w:pPr>
      <w:r>
        <w:rPr>
          <w:rFonts w:hint="eastAsia" w:ascii="仿宋_GB2312" w:hAnsi="仿宋_GB2312" w:eastAsia="仿宋_GB2312" w:cs="仿宋_GB2312"/>
          <w:color w:val="auto"/>
          <w:kern w:val="2"/>
          <w:sz w:val="32"/>
          <w:szCs w:val="32"/>
          <w:lang w:val="en-US" w:eastAsia="zh-CN" w:bidi="ar-SA"/>
        </w:rPr>
        <w:t>与去年同期相比，批发和零售业，建筑业，交通运输、仓储和邮政业，住宿和餐饮业，租赁和商务服务业，教育，水利、环境和公共设施管理业，居民服务、修理和其他服务业有所增长，其余等与去年同期相比均有所下降。</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表3. 按行业分组的需求人数</w:t>
      </w: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557"/>
        <w:gridCol w:w="1310"/>
        <w:gridCol w:w="996"/>
        <w:gridCol w:w="1538"/>
        <w:gridCol w:w="18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86"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00" w:lineRule="atLeast"/>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行 业</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00" w:lineRule="atLeast"/>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需求人数 (人)</w:t>
            </w:r>
          </w:p>
        </w:tc>
        <w:tc>
          <w:tcPr>
            <w:tcW w:w="54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00" w:lineRule="atLeast"/>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所占比重 (%)</w:t>
            </w:r>
          </w:p>
        </w:tc>
        <w:tc>
          <w:tcPr>
            <w:tcW w:w="83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00" w:lineRule="atLeast"/>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与上季度相比需求变化(%)</w:t>
            </w:r>
          </w:p>
        </w:tc>
        <w:tc>
          <w:tcPr>
            <w:tcW w:w="9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00" w:lineRule="atLeast"/>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与去年同期相比需求变化(%)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bookmarkStart w:id="1" w:name="OLE_LINK12" w:colFirst="1" w:colLast="1"/>
            <w:r>
              <w:rPr>
                <w:rFonts w:hint="eastAsia" w:ascii="Times New Roman" w:hAnsi="Times New Roman" w:eastAsia="仿宋_GB2312" w:cs="Times New Roman"/>
                <w:b/>
                <w:bCs/>
                <w:color w:val="auto"/>
                <w:kern w:val="2"/>
                <w:sz w:val="24"/>
                <w:szCs w:val="24"/>
                <w:lang w:val="en-US" w:eastAsia="zh-CN" w:bidi="ar-SA"/>
              </w:rPr>
              <w:t>农、林、牧、渔业</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261</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1.74</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14.98</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采矿业</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441</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2.93</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9.43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-20.68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制造业</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1267</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8.43</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78.45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-37.98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2"/>
                <w:szCs w:val="22"/>
                <w:lang w:val="en-US" w:eastAsia="zh-CN" w:bidi="ar-SA"/>
              </w:rPr>
              <w:t>电力、热力、燃气及水生产和供应业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404</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2.69</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169.33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建筑业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814</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5.42</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151.23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109.25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批发和零售业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2,588</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17.22</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211.81</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交通运输、仓储和邮政业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925</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6.15</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210.40</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128.96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住宿和餐饮业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2,877</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19.14</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120.63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21.19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信息传输、软件和信息技术服务业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426</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2.83</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287.27</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-3.62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金融业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0.13</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-50.00</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-96.02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房地产业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109</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0.73</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17.20</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-77.89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租赁和商务服务业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398</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2.65</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94.15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科学研究和技术服务业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水利、环境和公共设施管理业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103</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0.69</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-32.68</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101.96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居民服务、修理和其他服务业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3,515</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23.39</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114.46</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86.18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教育</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672</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4.47</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7.01</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63.11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卫生和社会工作</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53</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0.35</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112.00</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-44.21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文化、体育和娱乐业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0.67</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36.99</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-71.18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公共管理、社会保障和社会组织</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59</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0.39</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63.89</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-57.25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30"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国际组织</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30"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合计</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15,031</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107.41</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11.32</w:t>
            </w:r>
          </w:p>
        </w:tc>
      </w:tr>
      <w:bookmarkEnd w:id="1"/>
    </w:tbl>
    <w:p>
      <w:pPr>
        <w:pStyle w:val="2"/>
        <w:ind w:left="0" w:leftChars="0" w:firstLine="0" w:firstLineChars="0"/>
        <w:rPr>
          <w:color w:val="C00000"/>
        </w:rPr>
        <w:sectPr>
          <w:pgSz w:w="11906" w:h="16838"/>
          <w:pgMar w:top="2098" w:right="1474" w:bottom="2041" w:left="1587" w:header="851" w:footer="992" w:gutter="0"/>
          <w:pgNumType w:fmt="decimal"/>
          <w:cols w:space="425" w:num="1"/>
          <w:docGrid w:type="lines" w:linePitch="312" w:charSpace="0"/>
        </w:sectPr>
      </w:pPr>
    </w:p>
    <w:p>
      <w:pPr>
        <w:pStyle w:val="2"/>
        <w:ind w:left="0" w:leftChars="0" w:firstLine="0" w:firstLineChars="0"/>
        <w:rPr>
          <w:rFonts w:hint="eastAsia" w:eastAsia="宋体"/>
          <w:color w:val="C00000"/>
          <w:lang w:eastAsia="zh-CN"/>
        </w:rPr>
      </w:pPr>
      <w:r>
        <w:rPr>
          <w:rFonts w:hint="eastAsia"/>
          <w:color w:val="C00000"/>
          <w:lang w:val="en-US" w:eastAsia="zh-CN"/>
        </w:rPr>
        <w:t xml:space="preserve">     </w:t>
      </w:r>
      <w:r>
        <w:rPr>
          <w:rFonts w:hint="eastAsia" w:eastAsia="宋体"/>
          <w:color w:val="C00000"/>
          <w:lang w:eastAsia="zh-CN"/>
        </w:rPr>
        <w:drawing>
          <wp:inline distT="0" distB="0" distL="114300" distR="114300">
            <wp:extent cx="8314690" cy="5167630"/>
            <wp:effectExtent l="4445" t="4445" r="571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ind w:left="0" w:leftChars="0" w:firstLine="0" w:firstLineChars="0"/>
        <w:rPr>
          <w:color w:val="C00000"/>
        </w:rPr>
        <w:sectPr>
          <w:pgSz w:w="16838" w:h="11906" w:orient="landscape"/>
          <w:pgMar w:top="1800" w:right="1440" w:bottom="1800" w:left="1440"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三、用人单位需求情况</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按用人单位分，企业的用人需求在市场中占主导地位，所占比重高达98.17%，事业及机关单位需求占比为0.09%，其他需求占比1.74%。</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与上季度相比，企业需求人数环比上升了114.35%，事业单位需求人数环比上升了44.44%，机关单位环比下降了100%，其他需求环比下降了25.78%。</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与去年同期相比，企业需求人数同比上升了10.37%，事业单位需求人数同比下降了73.47%，机关单位需求人数同比下降了100%，其他需求同比上升了434.69%。</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从企业经济类型分内资企业占总企业需求的72.05%；在内资企业中，私营企业和有限责任公司占比分别为29.29%、29.03%。个体经营占企业总需求的27.95%。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与上一季度相比，内资企业需求人数环比上升了117.16%，个体经营需求人数环比上升了107.44%。</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与去年同期相比，内资企业需求人数同比上升了36.33%，个体经营需求人数同比下降了25.97%。</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表4. 按经济类型分组的需求人数</w:t>
      </w:r>
    </w:p>
    <w:tbl>
      <w:tblPr>
        <w:tblStyle w:val="9"/>
        <w:tblW w:w="844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374"/>
        <w:gridCol w:w="1200"/>
        <w:gridCol w:w="1171"/>
        <w:gridCol w:w="1769"/>
        <w:gridCol w:w="19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900"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经济类型</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需求人数 (人)</w:t>
            </w:r>
          </w:p>
        </w:tc>
        <w:tc>
          <w:tcPr>
            <w:tcW w:w="6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所占比重 (%)</w:t>
            </w:r>
          </w:p>
        </w:tc>
        <w:tc>
          <w:tcPr>
            <w:tcW w:w="104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与上季度相比需求变化(%)</w:t>
            </w:r>
          </w:p>
        </w:tc>
        <w:tc>
          <w:tcPr>
            <w:tcW w:w="11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与去年同期相比需求变化(%)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bookmarkStart w:id="2" w:name="OLE_LINK13" w:colFirst="1" w:colLast="1"/>
            <w:r>
              <w:rPr>
                <w:rFonts w:hint="eastAsia" w:ascii="Times New Roman" w:hAnsi="Times New Roman" w:eastAsia="仿宋_GB2312" w:cs="Times New Roman"/>
                <w:b/>
                <w:bCs/>
                <w:color w:val="auto"/>
                <w:kern w:val="2"/>
                <w:sz w:val="24"/>
                <w:szCs w:val="24"/>
                <w:lang w:val="en-US" w:eastAsia="zh-CN" w:bidi="ar-SA"/>
              </w:rPr>
              <w:t>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14,756</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98.17</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114.35</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10.37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其中：内资企业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10,632</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72.05</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117.16</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36.33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        国有企业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1,176</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7.97</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94.70</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        集体企业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0.09</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30.00</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-78.69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        股份合作企业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0.41</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1100.00</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-34.07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        联营企业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0.08</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        有限责任公司</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4,283</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29.03</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208.35</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123.89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82"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        股份有限公司</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635</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4.30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223.98</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-30.98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        私营企业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4,322</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29.29</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71.78</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        其它企业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131</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0.89</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-25.57</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-7.09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   港、澳、台投资企业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     外商投资企业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     个体经营</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4,124</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27.95</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107.44</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bookmarkStart w:id="3" w:name="OLE_LINK1" w:colFirst="2" w:colLast="2"/>
            <w:r>
              <w:rPr>
                <w:rFonts w:hint="eastAsia" w:ascii="Times New Roman" w:hAnsi="Times New Roman" w:eastAsia="仿宋_GB2312" w:cs="Times New Roman"/>
                <w:b/>
                <w:bCs/>
                <w:color w:val="auto"/>
                <w:kern w:val="2"/>
                <w:sz w:val="24"/>
                <w:szCs w:val="24"/>
                <w:lang w:val="en-US" w:eastAsia="zh-CN" w:bidi="ar-SA"/>
              </w:rPr>
              <w:t>事业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0.09</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44.44</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-73.47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机关</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其他</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262</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1.74</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-25.78</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434.69</w:t>
            </w:r>
          </w:p>
        </w:tc>
      </w:tr>
      <w:bookmarkEnd w:id="3"/>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合计</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15,031</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cs="Times New Roman"/>
                <w:i w:val="0"/>
                <w:iCs w:val="0"/>
                <w:color w:val="auto"/>
                <w:kern w:val="0"/>
                <w:sz w:val="24"/>
                <w:szCs w:val="24"/>
                <w:u w:val="none"/>
                <w:lang w:val="en-US" w:eastAsia="zh-CN" w:bidi="ar"/>
              </w:rPr>
              <w:t>107.41</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cs="Times New Roman"/>
                <w:i w:val="0"/>
                <w:iCs w:val="0"/>
                <w:color w:val="auto"/>
                <w:kern w:val="0"/>
                <w:sz w:val="24"/>
                <w:szCs w:val="24"/>
                <w:u w:val="none"/>
                <w:lang w:val="en-US" w:eastAsia="zh-CN" w:bidi="ar"/>
              </w:rPr>
              <w:t>11.32</w:t>
            </w:r>
          </w:p>
        </w:tc>
      </w:tr>
      <w:bookmarkEnd w:id="2"/>
    </w:tbl>
    <w:p>
      <w:pPr>
        <w:pStyle w:val="8"/>
        <w:spacing w:line="300" w:lineRule="atLeast"/>
        <w:jc w:val="both"/>
        <w:rPr>
          <w:rFonts w:hint="eastAsia"/>
          <w:color w:val="C00000"/>
          <w:sz w:val="28"/>
          <w:szCs w:val="28"/>
        </w:rPr>
      </w:pPr>
      <w:r>
        <w:rPr>
          <w:rFonts w:hint="eastAsia"/>
          <w:b/>
          <w:bCs/>
          <w:color w:val="C00000"/>
          <w:sz w:val="28"/>
          <w:szCs w:val="28"/>
          <w:lang w:eastAsia="zh-CN"/>
        </w:rPr>
        <w:drawing>
          <wp:anchor distT="0" distB="0" distL="114300" distR="114300" simplePos="0" relativeHeight="251661312" behindDoc="1" locked="0" layoutInCell="1" allowOverlap="1">
            <wp:simplePos x="0" y="0"/>
            <wp:positionH relativeFrom="column">
              <wp:posOffset>248920</wp:posOffset>
            </wp:positionH>
            <wp:positionV relativeFrom="paragraph">
              <wp:posOffset>4151630</wp:posOffset>
            </wp:positionV>
            <wp:extent cx="5046980" cy="3830955"/>
            <wp:effectExtent l="4445" t="4445" r="15875" b="12700"/>
            <wp:wrapTight wrapText="bothSides">
              <wp:wrapPolygon>
                <wp:start x="-19" y="-25"/>
                <wp:lineTo x="-19" y="21564"/>
                <wp:lineTo x="21505" y="21564"/>
                <wp:lineTo x="21505" y="-25"/>
                <wp:lineTo x="-19" y="-25"/>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b/>
          <w:bCs/>
          <w:color w:val="C00000"/>
          <w:sz w:val="28"/>
          <w:szCs w:val="28"/>
          <w:lang w:eastAsia="zh-CN"/>
        </w:rPr>
        <w:drawing>
          <wp:anchor distT="0" distB="0" distL="114300" distR="114300" simplePos="0" relativeHeight="251660288" behindDoc="0" locked="0" layoutInCell="1" allowOverlap="1">
            <wp:simplePos x="0" y="0"/>
            <wp:positionH relativeFrom="column">
              <wp:posOffset>280670</wp:posOffset>
            </wp:positionH>
            <wp:positionV relativeFrom="paragraph">
              <wp:posOffset>-1905</wp:posOffset>
            </wp:positionV>
            <wp:extent cx="4983480" cy="3957955"/>
            <wp:effectExtent l="5080" t="4445" r="21590" b="1905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8"/>
        <w:spacing w:line="300" w:lineRule="atLeast"/>
        <w:jc w:val="center"/>
        <w:rPr>
          <w:rFonts w:hint="eastAsia"/>
          <w:color w:val="C00000"/>
          <w:sz w:val="28"/>
          <w:szCs w:val="28"/>
        </w:rPr>
        <w:sectPr>
          <w:pgSz w:w="11906" w:h="16838"/>
          <w:pgMar w:top="2098" w:right="1474" w:bottom="2041"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lang w:val="en-US" w:eastAsia="zh-CN"/>
        </w:rPr>
        <w:t>、</w:t>
      </w:r>
      <w:r>
        <w:rPr>
          <w:rFonts w:hint="eastAsia" w:ascii="黑体" w:hAnsi="黑体" w:eastAsia="黑体" w:cs="黑体"/>
          <w:b w:val="0"/>
          <w:bCs w:val="0"/>
          <w:color w:val="auto"/>
          <w:sz w:val="32"/>
          <w:szCs w:val="32"/>
          <w:lang w:eastAsia="zh-CN"/>
        </w:rPr>
        <w:t>按职业供求情况分析</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按职业分组需求情况看，办事人员和有关人员占比46.25%，社会生产服务和生活服务人员占比19.81%；生产制造及有关人员占比12.78%，专业技术人员占比9.79%，农林牧渔业生产及辅助人员占比0.75%，单位负责人占比0.72%，其他占比9.90%。</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与上一季度相比，从职业分组需求看，各组需求人数均有所增加。与去年同期相比，单位负责人，办事人员和有关人员，其他组别的需求人数分别同比增加了5.88%，136.70%，36.39%，其余均有所减少。</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求职者中，与上一季度相比，单位负责人的求职人数环比下降78.57%，其余均有所上升。与去年同期相比，单位负责人，专业技术人员，生产制造及有关人员求职人数分别同比下降95.86%，23.28%，15.24%，其余均有所上升。</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Times New Roman" w:hAnsi="Times New Roman" w:eastAsia="仿宋_GB2312" w:cs="Times New Roman"/>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Times New Roman" w:hAnsi="Times New Roman" w:eastAsia="仿宋_GB2312" w:cs="Times New Roman"/>
          <w:color w:val="C00000"/>
          <w:kern w:val="2"/>
          <w:sz w:val="32"/>
          <w:szCs w:val="32"/>
          <w:lang w:val="en-US" w:eastAsia="zh-CN" w:bidi="ar-SA"/>
        </w:rPr>
        <w:sectPr>
          <w:pgSz w:w="11906" w:h="16838"/>
          <w:pgMar w:top="2098" w:right="1474" w:bottom="2041"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表5. 按职业分组的供求人数</w:t>
      </w:r>
    </w:p>
    <w:tbl>
      <w:tblPr>
        <w:tblStyle w:val="9"/>
        <w:tblW w:w="4997"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596"/>
        <w:gridCol w:w="875"/>
        <w:gridCol w:w="914"/>
        <w:gridCol w:w="1102"/>
        <w:gridCol w:w="1278"/>
        <w:gridCol w:w="853"/>
        <w:gridCol w:w="937"/>
        <w:gridCol w:w="1102"/>
        <w:gridCol w:w="1286"/>
        <w:gridCol w:w="710"/>
        <w:gridCol w:w="1107"/>
        <w:gridCol w:w="12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jc w:val="center"/>
        </w:trPr>
        <w:tc>
          <w:tcPr>
            <w:tcW w:w="929"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职业类别</w:t>
            </w:r>
          </w:p>
        </w:tc>
        <w:tc>
          <w:tcPr>
            <w:tcW w:w="4070" w:type="pct"/>
            <w:gridSpan w:val="11"/>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劳动力供求人数比较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560" w:hRule="atLeast"/>
          <w:tblCellSpacing w:w="0" w:type="dxa"/>
          <w:jc w:val="center"/>
        </w:trPr>
        <w:tc>
          <w:tcPr>
            <w:tcW w:w="929" w:type="pct"/>
            <w:vMerge w:val="continue"/>
            <w:tcBorders>
              <w:top w:val="outset" w:color="auto" w:sz="6" w:space="0"/>
              <w:left w:val="outset" w:color="auto" w:sz="6" w:space="0"/>
              <w:bottom w:val="outset" w:color="auto" w:sz="6" w:space="0"/>
              <w:right w:val="outset" w:color="auto" w:sz="6" w:space="0"/>
            </w:tcBorders>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p>
        </w:tc>
        <w:tc>
          <w:tcPr>
            <w:tcW w:w="31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需求人数(人)</w:t>
            </w:r>
          </w:p>
        </w:tc>
        <w:tc>
          <w:tcPr>
            <w:tcW w:w="32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需求比重 (%)</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与上季度相比需求变化（%)</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与去年同期相比需求变化（%)</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 人数(人)</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求职比重 (%)</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与上季度相比求职变化（%)</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与去年同期相比求职变化（%)</w:t>
            </w:r>
          </w:p>
        </w:tc>
        <w:tc>
          <w:tcPr>
            <w:tcW w:w="2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求人 倍率</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 度相比 供求变化</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与去年同期相比供求变化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bookmarkStart w:id="4" w:name="OLE_LINK16" w:colFirst="9" w:colLast="9"/>
            <w:bookmarkStart w:id="5" w:name="OLE_LINK14" w:colFirst="1" w:colLast="1"/>
            <w:bookmarkStart w:id="6" w:name="OLE_LINK15" w:colFirst="5" w:colLast="5"/>
            <w:r>
              <w:rPr>
                <w:rFonts w:hint="eastAsia" w:ascii="Times New Roman" w:hAnsi="Times New Roman" w:eastAsia="仿宋_GB2312" w:cs="Times New Roman"/>
                <w:b/>
                <w:bCs/>
                <w:color w:val="auto"/>
                <w:kern w:val="2"/>
                <w:sz w:val="24"/>
                <w:szCs w:val="24"/>
                <w:lang w:val="en-US" w:eastAsia="zh-CN" w:bidi="ar-SA"/>
              </w:rPr>
              <w:t>单位负责人</w:t>
            </w:r>
          </w:p>
        </w:tc>
        <w:tc>
          <w:tcPr>
            <w:tcW w:w="31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108</w:t>
            </w:r>
          </w:p>
        </w:tc>
        <w:tc>
          <w:tcPr>
            <w:tcW w:w="32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0.72</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500.00</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5.88</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0.05</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-78.57</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-95.86</w:t>
            </w:r>
          </w:p>
        </w:tc>
        <w:tc>
          <w:tcPr>
            <w:tcW w:w="2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7.85</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7.24</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专业技术人员</w:t>
            </w:r>
          </w:p>
        </w:tc>
        <w:tc>
          <w:tcPr>
            <w:tcW w:w="31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1,471</w:t>
            </w:r>
          </w:p>
        </w:tc>
        <w:tc>
          <w:tcPr>
            <w:tcW w:w="32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9.79</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178.07</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-40.28</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916</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7.83</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259.22</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-23.28</w:t>
            </w:r>
          </w:p>
        </w:tc>
        <w:tc>
          <w:tcPr>
            <w:tcW w:w="2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1.44</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办事人员和有关人员</w:t>
            </w:r>
          </w:p>
        </w:tc>
        <w:tc>
          <w:tcPr>
            <w:tcW w:w="31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6,952</w:t>
            </w:r>
          </w:p>
        </w:tc>
        <w:tc>
          <w:tcPr>
            <w:tcW w:w="32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46.25</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259.46</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136.70</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3,672</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31.39</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148.44</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77.56</w:t>
            </w:r>
          </w:p>
        </w:tc>
        <w:tc>
          <w:tcPr>
            <w:tcW w:w="2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1.67</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0.5</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spacing w:val="1"/>
                <w:w w:val="76"/>
                <w:kern w:val="0"/>
                <w:sz w:val="24"/>
                <w:szCs w:val="24"/>
                <w:fitText w:val="2400" w:id="2006327536"/>
                <w:lang w:val="en-US" w:eastAsia="zh-CN" w:bidi="ar-SA"/>
              </w:rPr>
              <w:t>社会生产服务和生活服务人</w:t>
            </w:r>
            <w:r>
              <w:rPr>
                <w:rFonts w:hint="eastAsia" w:ascii="Times New Roman" w:hAnsi="Times New Roman" w:eastAsia="仿宋_GB2312" w:cs="Times New Roman"/>
                <w:b/>
                <w:bCs/>
                <w:color w:val="auto"/>
                <w:spacing w:val="-3"/>
                <w:w w:val="76"/>
                <w:kern w:val="0"/>
                <w:sz w:val="24"/>
                <w:szCs w:val="24"/>
                <w:fitText w:val="2400" w:id="2006327536"/>
                <w:lang w:val="en-US" w:eastAsia="zh-CN" w:bidi="ar-SA"/>
              </w:rPr>
              <w:t>员</w:t>
            </w:r>
          </w:p>
        </w:tc>
        <w:tc>
          <w:tcPr>
            <w:tcW w:w="31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2,978</w:t>
            </w:r>
          </w:p>
        </w:tc>
        <w:tc>
          <w:tcPr>
            <w:tcW w:w="32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19.81</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7.70</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-27.51</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3,125</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26.72</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87.91</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4.73</w:t>
            </w:r>
          </w:p>
        </w:tc>
        <w:tc>
          <w:tcPr>
            <w:tcW w:w="2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0.89</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-0.55</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spacing w:val="0"/>
                <w:w w:val="83"/>
                <w:kern w:val="0"/>
                <w:sz w:val="24"/>
                <w:szCs w:val="24"/>
                <w:fitText w:val="2400" w:id="-1151379540"/>
                <w:lang w:val="en-US" w:eastAsia="zh-CN" w:bidi="ar-SA"/>
              </w:rPr>
              <w:t>农林牧渔业生产及辅助人员</w:t>
            </w:r>
          </w:p>
        </w:tc>
        <w:tc>
          <w:tcPr>
            <w:tcW w:w="31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113</w:t>
            </w:r>
          </w:p>
        </w:tc>
        <w:tc>
          <w:tcPr>
            <w:tcW w:w="32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0.75</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175.61</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-70.80</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271</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2.32</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34.16</w:t>
            </w:r>
          </w:p>
        </w:tc>
        <w:tc>
          <w:tcPr>
            <w:tcW w:w="2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0.40</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-10.21</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生产制造及有关人员</w:t>
            </w:r>
          </w:p>
        </w:tc>
        <w:tc>
          <w:tcPr>
            <w:tcW w:w="31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1,921</w:t>
            </w:r>
          </w:p>
        </w:tc>
        <w:tc>
          <w:tcPr>
            <w:tcW w:w="32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12.78</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110.87</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-20.46</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1,418</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12.12</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56.00</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-15.24</w:t>
            </w:r>
          </w:p>
        </w:tc>
        <w:tc>
          <w:tcPr>
            <w:tcW w:w="2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1.23</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0.31</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其他</w:t>
            </w:r>
          </w:p>
        </w:tc>
        <w:tc>
          <w:tcPr>
            <w:tcW w:w="31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1,488</w:t>
            </w:r>
          </w:p>
        </w:tc>
        <w:tc>
          <w:tcPr>
            <w:tcW w:w="32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9.90</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41.85</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36.39</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1,211</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10.35</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76.27</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108.08</w:t>
            </w:r>
          </w:p>
        </w:tc>
        <w:tc>
          <w:tcPr>
            <w:tcW w:w="2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1.13</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-0.21</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-0.69</w:t>
            </w:r>
          </w:p>
        </w:tc>
      </w:tr>
      <w:bookmarkEnd w:id="4"/>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无要求</w:t>
            </w:r>
          </w:p>
        </w:tc>
        <w:tc>
          <w:tcPr>
            <w:tcW w:w="31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32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1,078</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9.22</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59.00</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439.00</w:t>
            </w:r>
          </w:p>
        </w:tc>
        <w:tc>
          <w:tcPr>
            <w:tcW w:w="2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40" w:hRule="atLeast"/>
          <w:tblCellSpacing w:w="0" w:type="dxa"/>
          <w:jc w:val="center"/>
        </w:trPr>
        <w:tc>
          <w:tcPr>
            <w:tcW w:w="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合计</w:t>
            </w:r>
          </w:p>
        </w:tc>
        <w:tc>
          <w:tcPr>
            <w:tcW w:w="31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15,031</w:t>
            </w:r>
          </w:p>
        </w:tc>
        <w:tc>
          <w:tcPr>
            <w:tcW w:w="32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107.41</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11.32</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11,697</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105.28</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29.28</w:t>
            </w:r>
          </w:p>
        </w:tc>
        <w:tc>
          <w:tcPr>
            <w:tcW w:w="2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3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r>
      <w:bookmarkEnd w:id="5"/>
      <w:bookmarkEnd w:id="6"/>
    </w:tbl>
    <w:p>
      <w:pPr>
        <w:pStyle w:val="2"/>
        <w:ind w:left="0" w:leftChars="0" w:firstLine="0" w:firstLineChars="0"/>
        <w:rPr>
          <w:rFonts w:hint="eastAsia" w:eastAsia="宋体"/>
          <w:color w:val="auto"/>
          <w:sz w:val="22"/>
          <w:szCs w:val="22"/>
          <w:lang w:eastAsia="zh-CN"/>
        </w:rPr>
      </w:pPr>
    </w:p>
    <w:p>
      <w:pPr>
        <w:pStyle w:val="2"/>
        <w:ind w:left="0" w:leftChars="0" w:firstLine="0" w:firstLineChars="0"/>
        <w:rPr>
          <w:rFonts w:hint="eastAsia" w:eastAsia="宋体"/>
          <w:color w:val="C00000"/>
          <w:sz w:val="22"/>
          <w:szCs w:val="22"/>
          <w:lang w:eastAsia="zh-CN"/>
        </w:rPr>
      </w:pPr>
      <w:r>
        <w:rPr>
          <w:rFonts w:hint="eastAsia"/>
          <w:color w:val="C00000"/>
          <w:sz w:val="22"/>
          <w:szCs w:val="22"/>
          <w:lang w:val="en-US" w:eastAsia="zh-CN"/>
        </w:rPr>
        <w:t xml:space="preserve">  </w:t>
      </w:r>
      <w:r>
        <w:rPr>
          <w:rFonts w:hint="eastAsia" w:eastAsia="宋体"/>
          <w:color w:val="C00000"/>
          <w:sz w:val="22"/>
          <w:szCs w:val="22"/>
          <w:lang w:eastAsia="zh-CN"/>
        </w:rPr>
        <w:drawing>
          <wp:inline distT="0" distB="0" distL="114300" distR="114300">
            <wp:extent cx="8515350" cy="4865370"/>
            <wp:effectExtent l="4445" t="4445" r="14605"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ind w:left="0" w:leftChars="0" w:firstLine="0" w:firstLineChars="0"/>
        <w:rPr>
          <w:rFonts w:hint="eastAsia" w:eastAsia="宋体"/>
          <w:color w:val="C00000"/>
          <w:sz w:val="22"/>
          <w:szCs w:val="22"/>
          <w:lang w:eastAsia="zh-CN"/>
        </w:rPr>
      </w:pPr>
    </w:p>
    <w:p>
      <w:pPr>
        <w:pStyle w:val="2"/>
        <w:ind w:left="0" w:leftChars="0" w:firstLine="0" w:firstLineChars="0"/>
        <w:rPr>
          <w:rFonts w:hint="eastAsia" w:eastAsia="宋体"/>
          <w:color w:val="C00000"/>
          <w:sz w:val="22"/>
          <w:szCs w:val="22"/>
          <w:lang w:eastAsia="zh-CN"/>
        </w:rPr>
        <w:sectPr>
          <w:pgSz w:w="16838" w:h="11906" w:orient="landscape"/>
          <w:pgMar w:top="1800" w:right="1474" w:bottom="1800" w:left="1440"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lang w:val="en-US" w:eastAsia="zh-CN"/>
        </w:rPr>
        <w:t>、</w:t>
      </w:r>
      <w:r>
        <w:rPr>
          <w:rFonts w:hint="eastAsia" w:ascii="黑体" w:hAnsi="黑体" w:eastAsia="黑体" w:cs="黑体"/>
          <w:b w:val="0"/>
          <w:bCs w:val="0"/>
          <w:color w:val="auto"/>
          <w:sz w:val="32"/>
          <w:szCs w:val="32"/>
          <w:highlight w:val="none"/>
          <w:lang w:eastAsia="zh-CN"/>
        </w:rPr>
        <w:t>需求大于、小于求职缺口最大的前十个职业分</w:t>
      </w:r>
      <w:r>
        <w:rPr>
          <w:rFonts w:hint="eastAsia" w:ascii="黑体" w:hAnsi="黑体" w:eastAsia="黑体" w:cs="黑体"/>
          <w:b w:val="0"/>
          <w:bCs w:val="0"/>
          <w:color w:val="auto"/>
          <w:sz w:val="32"/>
          <w:szCs w:val="32"/>
          <w:lang w:eastAsia="zh-CN"/>
        </w:rPr>
        <w:t>析</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当前，我盟结构性就业矛盾仍较为突出。从2024年第二季度我盟各地公共就业服务机构统计数据可以看出，劳动力出现短缺的前十个岗位依次是其他住宿和餐饮服务人员，邮政投递员，其他专业技术人员，邮件分拣员，露天采矿工，客房服务员，其他生产制造及有关人员，专用车辆驾驶员，其他社会生产服务和生活服务人员，国际快递业务师。</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同时，我盟各地劳动力市场出现劳动力富余的前十个岗位依次是包装工，其他办事人员和有关人员，其他批发与零售服务人员，其他行政办事及辅助人员，企业人力资源管理师，会计专业人员，装饰装修工，普通高等学校教师，企业经理，物业管理师。</w:t>
      </w: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2"/>
        <w:rPr>
          <w:rFonts w:hint="eastAsia"/>
          <w:color w:val="C00000"/>
          <w:sz w:val="22"/>
          <w:szCs w:val="22"/>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表6.需求大于求职缺口最大的前十个职业（职业小类）</w:t>
      </w:r>
    </w:p>
    <w:tbl>
      <w:tblPr>
        <w:tblStyle w:val="9"/>
        <w:tblpPr w:leftFromText="180" w:rightFromText="180" w:vertAnchor="text" w:horzAnchor="page" w:tblpX="1663" w:tblpY="598"/>
        <w:tblOverlap w:val="never"/>
        <w:tblW w:w="4998"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904"/>
        <w:gridCol w:w="1273"/>
        <w:gridCol w:w="1304"/>
        <w:gridCol w:w="1147"/>
        <w:gridCol w:w="12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173" w:hRule="atLeast"/>
          <w:tblCellSpacing w:w="0" w:type="dxa"/>
        </w:trPr>
        <w:tc>
          <w:tcPr>
            <w:tcW w:w="219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项目</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需求人数</w:t>
            </w:r>
          </w:p>
        </w:tc>
        <w:tc>
          <w:tcPr>
            <w:tcW w:w="7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求职人数</w:t>
            </w:r>
          </w:p>
        </w:tc>
        <w:tc>
          <w:tcPr>
            <w:tcW w:w="64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缺口数</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求人倍率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其他住宿和餐饮服务人员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421</w:t>
            </w:r>
          </w:p>
        </w:tc>
        <w:tc>
          <w:tcPr>
            <w:tcW w:w="13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88</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333</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4.78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邮政投递员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311</w:t>
            </w:r>
          </w:p>
        </w:tc>
        <w:tc>
          <w:tcPr>
            <w:tcW w:w="13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121</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190</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其他专业技术人员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208</w:t>
            </w:r>
          </w:p>
        </w:tc>
        <w:tc>
          <w:tcPr>
            <w:tcW w:w="13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101</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邮件分拣员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337</w:t>
            </w:r>
          </w:p>
        </w:tc>
        <w:tc>
          <w:tcPr>
            <w:tcW w:w="13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246</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91</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露天采矿工</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120</w:t>
            </w:r>
          </w:p>
        </w:tc>
        <w:tc>
          <w:tcPr>
            <w:tcW w:w="13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53</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67</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2.26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客房服务员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227</w:t>
            </w:r>
          </w:p>
        </w:tc>
        <w:tc>
          <w:tcPr>
            <w:tcW w:w="13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167</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60</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其他生产制造及有关人员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90</w:t>
            </w:r>
          </w:p>
        </w:tc>
        <w:tc>
          <w:tcPr>
            <w:tcW w:w="13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36</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54</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专用车辆驾驶员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50</w:t>
            </w:r>
          </w:p>
        </w:tc>
        <w:tc>
          <w:tcPr>
            <w:tcW w:w="13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48</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其他社会生产服务和生活服务人员</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122</w:t>
            </w:r>
          </w:p>
        </w:tc>
        <w:tc>
          <w:tcPr>
            <w:tcW w:w="13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80</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42</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9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国际快递业务师</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126</w:t>
            </w:r>
          </w:p>
        </w:tc>
        <w:tc>
          <w:tcPr>
            <w:tcW w:w="13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84</w:t>
            </w:r>
          </w:p>
        </w:tc>
        <w:tc>
          <w:tcPr>
            <w:tcW w:w="114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42</w:t>
            </w:r>
          </w:p>
        </w:tc>
        <w:tc>
          <w:tcPr>
            <w:tcW w:w="127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1.50</w:t>
            </w:r>
          </w:p>
        </w:tc>
      </w:tr>
    </w:tbl>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表7.需求小于求职缺口最大的前十个职业（职业小类）</w:t>
      </w:r>
    </w:p>
    <w:tbl>
      <w:tblPr>
        <w:tblStyle w:val="9"/>
        <w:tblpPr w:leftFromText="180" w:rightFromText="180" w:vertAnchor="text" w:horzAnchor="page" w:tblpX="1888" w:tblpY="598"/>
        <w:tblOverlap w:val="never"/>
        <w:tblW w:w="4729"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144"/>
        <w:gridCol w:w="1377"/>
        <w:gridCol w:w="1336"/>
        <w:gridCol w:w="1244"/>
        <w:gridCol w:w="13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173" w:hRule="atLeast"/>
          <w:tblCellSpacing w:w="0" w:type="dxa"/>
        </w:trPr>
        <w:tc>
          <w:tcPr>
            <w:tcW w:w="186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项目</w:t>
            </w:r>
          </w:p>
        </w:tc>
        <w:tc>
          <w:tcPr>
            <w:tcW w:w="81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需求人数</w:t>
            </w:r>
          </w:p>
        </w:tc>
        <w:tc>
          <w:tcPr>
            <w:tcW w:w="7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求职人数</w:t>
            </w:r>
          </w:p>
        </w:tc>
        <w:tc>
          <w:tcPr>
            <w:tcW w:w="73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缺口数</w:t>
            </w:r>
          </w:p>
        </w:tc>
        <w:tc>
          <w:tcPr>
            <w:tcW w:w="7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求人倍率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包装工</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116</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420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304</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其他办事人员和有关人员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57</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204</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147</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其他批发与零售服务人员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60</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194</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134</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其他行政办事及辅助人员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63</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36</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企业人力资源管理师</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42</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会计专业人员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装饰装修工</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23</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普通高等学校教师</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企业经理</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物业管理师</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0.42</w:t>
            </w:r>
          </w:p>
        </w:tc>
      </w:tr>
    </w:tbl>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spacing w:line="300" w:lineRule="atLeast"/>
        <w:jc w:val="center"/>
        <w:rPr>
          <w:rFonts w:hint="eastAsia"/>
          <w:color w:val="C00000"/>
          <w:sz w:val="22"/>
          <w:szCs w:val="22"/>
        </w:rPr>
      </w:pPr>
      <w:r>
        <w:rPr>
          <w:rFonts w:hint="eastAsia"/>
          <w:color w:val="C00000"/>
          <w:sz w:val="22"/>
          <w:szCs w:val="22"/>
        </w:rPr>
        <w:t xml:space="preserve"> </w:t>
      </w:r>
    </w:p>
    <w:p>
      <w:pPr>
        <w:pStyle w:val="8"/>
        <w:spacing w:line="300" w:lineRule="atLeast"/>
        <w:jc w:val="center"/>
        <w:rPr>
          <w:rFonts w:hint="eastAsia"/>
          <w:color w:val="C00000"/>
          <w:sz w:val="22"/>
          <w:szCs w:val="22"/>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六、求职人员分类</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求职者按类别区分，失业人员占比44.32%，新成长失业青年占比23.48%，其中应届高校毕业生占比42.01%。外地户籍求职人员占比10.67%，本市农村求职人员占比4.81%，退休人员、在学人员和在业人员占比分别为6.79%、5.48%和4.45%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一季度相比，在学人员环比上升2570.83%，退休人员环比上升291.13%，在业人员环比上升253.74%，失业人员环比上升199.48%，外地户籍求职人员环比上升87.39%，本市农村求职人员环比上升28.54%，新成长失业青年环比上升10.37%。</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与去年同期相比，退休人员同比增长590.43%，在业人员同比增长213.25%，外地户籍求职人员同比增长102.27%，新成长失业青年同比增长18.25%，失业人员同比增长2.29%，本市农村求职人员同比下降25.82%。</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color w:val="auto"/>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表8. 按求职人员类别分组的求职人数</w:t>
      </w:r>
    </w:p>
    <w:tbl>
      <w:tblPr>
        <w:tblStyle w:val="9"/>
        <w:tblpPr w:leftFromText="180" w:rightFromText="180" w:vertAnchor="text" w:horzAnchor="page" w:tblpX="1560" w:tblpY="917"/>
        <w:tblOverlap w:val="never"/>
        <w:tblW w:w="5006"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014"/>
        <w:gridCol w:w="1356"/>
        <w:gridCol w:w="1276"/>
        <w:gridCol w:w="1518"/>
        <w:gridCol w:w="17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求职人员类别</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求职人数(人)</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所占比重(%)</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与上季度相比求职变化(%)</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与去年同期相比求职变化(%)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bookmarkStart w:id="7" w:name="OLE_LINK17" w:colFirst="1" w:colLast="1"/>
            <w:r>
              <w:rPr>
                <w:rFonts w:hint="eastAsia" w:ascii="Times New Roman" w:hAnsi="Times New Roman" w:eastAsia="仿宋_GB2312" w:cs="Times New Roman"/>
                <w:b/>
                <w:bCs/>
                <w:color w:val="auto"/>
                <w:kern w:val="2"/>
                <w:sz w:val="24"/>
                <w:szCs w:val="24"/>
                <w:lang w:val="en-US" w:eastAsia="zh-CN" w:bidi="ar-SA"/>
              </w:rPr>
              <w:t>新成长失业青年 </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2,747</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23.48</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10.37</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1" w:firstLineChars="200"/>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其中：应届高校毕业生</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1,154</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42.01</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155.31</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110.58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失业人员</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5,184</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44.32</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199.48</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在业人员</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520</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4.45</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253.74</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213.25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退休人员</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794</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6.79</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291.13</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590.43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在学人员</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641</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5.48</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2570.83</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本市农村求职人员</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563</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4.81</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28.54</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-25.82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外地户籍求职人员</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1,248</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10.67</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87.39</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102.27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合计</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11,697</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105.28</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29.28</w:t>
            </w:r>
          </w:p>
        </w:tc>
      </w:tr>
      <w:bookmarkEnd w:id="7"/>
    </w:tbl>
    <w:p>
      <w:pPr>
        <w:pStyle w:val="8"/>
        <w:spacing w:line="300" w:lineRule="atLeast"/>
        <w:jc w:val="center"/>
        <w:rPr>
          <w:rFonts w:hint="eastAsia"/>
          <w:color w:val="C00000"/>
          <w:sz w:val="22"/>
          <w:szCs w:val="22"/>
          <w:lang w:eastAsia="zh-CN"/>
        </w:rPr>
        <w:sectPr>
          <w:pgSz w:w="11906" w:h="16838"/>
          <w:pgMar w:top="2098" w:right="1474" w:bottom="2041" w:left="1587" w:header="851" w:footer="992" w:gutter="0"/>
          <w:pgNumType w:fmt="decimal"/>
          <w:cols w:space="425" w:num="1"/>
          <w:docGrid w:type="lines" w:linePitch="312" w:charSpace="0"/>
        </w:sectPr>
      </w:pPr>
    </w:p>
    <w:p>
      <w:pPr>
        <w:pStyle w:val="8"/>
        <w:spacing w:line="300" w:lineRule="atLeast"/>
        <w:jc w:val="center"/>
        <w:rPr>
          <w:rFonts w:hint="eastAsia"/>
          <w:color w:val="C00000"/>
          <w:sz w:val="22"/>
          <w:szCs w:val="22"/>
          <w:lang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color w:val="C00000"/>
          <w:sz w:val="22"/>
          <w:szCs w:val="22"/>
          <w:lang w:eastAsia="zh-CN"/>
        </w:rPr>
        <w:drawing>
          <wp:inline distT="0" distB="0" distL="114300" distR="114300">
            <wp:extent cx="8119745" cy="5481955"/>
            <wp:effectExtent l="4445" t="5080" r="10160"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七、招聘、应聘条件分析</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（一）性别。</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本季度男性求职者6404人，占比54.75%，女性求职者5293人，占比45.25%。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与上一季度相比，男性求职者增加了4039人，环比上升170.78%，女性求职者增加了1960人，环比上升58.81%。</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28"/>
          <w:szCs w:val="28"/>
          <w:lang w:val="en-US" w:eastAsia="zh-CN" w:bidi="ar-SA"/>
        </w:rPr>
      </w:pPr>
      <w:r>
        <w:rPr>
          <w:rFonts w:hint="eastAsia" w:ascii="仿宋_GB2312" w:hAnsi="仿宋_GB2312" w:eastAsia="仿宋_GB2312" w:cs="仿宋_GB2312"/>
          <w:color w:val="auto"/>
          <w:kern w:val="2"/>
          <w:sz w:val="32"/>
          <w:szCs w:val="32"/>
          <w:lang w:val="en-US" w:eastAsia="zh-CN" w:bidi="ar-SA"/>
        </w:rPr>
        <w:t>与去年同期相比，男性求职者增加了2207人，同比上升52.59%，女性求职者增加了442人，同比增长9.11%。</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表9. 按性别分组的供求人数</w:t>
      </w:r>
    </w:p>
    <w:tbl>
      <w:tblPr>
        <w:tblStyle w:val="9"/>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755"/>
        <w:gridCol w:w="1612"/>
        <w:gridCol w:w="1619"/>
        <w:gridCol w:w="1886"/>
        <w:gridCol w:w="20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219" w:hRule="atLeast"/>
          <w:tblCellSpacing w:w="0" w:type="dxa"/>
          <w:jc w:val="center"/>
        </w:trPr>
        <w:tc>
          <w:tcPr>
            <w:tcW w:w="9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求职人员性别</w:t>
            </w:r>
          </w:p>
        </w:tc>
        <w:tc>
          <w:tcPr>
            <w:tcW w:w="9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求职人数(人)</w:t>
            </w:r>
          </w:p>
        </w:tc>
        <w:tc>
          <w:tcPr>
            <w:tcW w:w="9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所占比重(%)</w:t>
            </w:r>
          </w:p>
        </w:tc>
        <w:tc>
          <w:tcPr>
            <w:tcW w:w="105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与上季度相比求职变化(%)</w:t>
            </w:r>
          </w:p>
        </w:tc>
        <w:tc>
          <w:tcPr>
            <w:tcW w:w="113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 求职变化(%)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jc w:val="center"/>
        </w:trPr>
        <w:tc>
          <w:tcPr>
            <w:tcW w:w="9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lang w:val="en-US" w:eastAsia="zh-CN" w:bidi="ar-SA"/>
              </w:rPr>
            </w:pPr>
            <w:bookmarkStart w:id="8" w:name="OLE_LINK24" w:colFirst="1" w:colLast="1"/>
            <w:r>
              <w:rPr>
                <w:rFonts w:hint="eastAsia" w:ascii="Times New Roman" w:hAnsi="Times New Roman" w:eastAsia="仿宋_GB2312" w:cs="Times New Roman"/>
                <w:color w:val="auto"/>
                <w:kern w:val="2"/>
                <w:sz w:val="24"/>
                <w:szCs w:val="24"/>
                <w:lang w:val="en-US" w:eastAsia="zh-CN" w:bidi="ar-SA"/>
              </w:rPr>
              <w:t>男</w:t>
            </w:r>
          </w:p>
        </w:tc>
        <w:tc>
          <w:tcPr>
            <w:tcW w:w="161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6,404</w:t>
            </w:r>
          </w:p>
        </w:tc>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54.75</w:t>
            </w:r>
          </w:p>
        </w:tc>
        <w:tc>
          <w:tcPr>
            <w:tcW w:w="18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170.78</w:t>
            </w:r>
          </w:p>
        </w:tc>
        <w:tc>
          <w:tcPr>
            <w:tcW w:w="202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52.59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jc w:val="center"/>
        </w:trPr>
        <w:tc>
          <w:tcPr>
            <w:tcW w:w="9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女</w:t>
            </w:r>
          </w:p>
        </w:tc>
        <w:tc>
          <w:tcPr>
            <w:tcW w:w="161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5,293</w:t>
            </w:r>
          </w:p>
        </w:tc>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45.25</w:t>
            </w:r>
          </w:p>
        </w:tc>
        <w:tc>
          <w:tcPr>
            <w:tcW w:w="18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58.81</w:t>
            </w:r>
          </w:p>
        </w:tc>
        <w:tc>
          <w:tcPr>
            <w:tcW w:w="202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jc w:val="center"/>
        </w:trPr>
        <w:tc>
          <w:tcPr>
            <w:tcW w:w="98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合计</w:t>
            </w:r>
          </w:p>
        </w:tc>
        <w:tc>
          <w:tcPr>
            <w:tcW w:w="161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11,697</w:t>
            </w:r>
          </w:p>
        </w:tc>
        <w:tc>
          <w:tcPr>
            <w:tcW w:w="16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88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105.28</w:t>
            </w:r>
          </w:p>
        </w:tc>
        <w:tc>
          <w:tcPr>
            <w:tcW w:w="202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29.28</w:t>
            </w:r>
          </w:p>
        </w:tc>
      </w:tr>
      <w:bookmarkEnd w:id="8"/>
    </w:tbl>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color w:val="C00000"/>
          <w:sz w:val="22"/>
          <w:szCs w:val="22"/>
        </w:rPr>
        <w:sectPr>
          <w:pgSz w:w="11906" w:h="16838"/>
          <w:pgMar w:top="2098" w:right="1474" w:bottom="2041"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40" w:firstLineChars="200"/>
        <w:textAlignment w:val="auto"/>
        <w:rPr>
          <w:rFonts w:hint="eastAsia" w:ascii="楷体_GB2312" w:hAnsi="楷体_GB2312" w:eastAsia="楷体_GB2312" w:cs="楷体_GB2312"/>
          <w:color w:val="C00000"/>
          <w:kern w:val="2"/>
          <w:sz w:val="32"/>
          <w:szCs w:val="32"/>
          <w:lang w:val="en-US" w:eastAsia="zh-CN" w:bidi="ar-SA"/>
        </w:rPr>
      </w:pPr>
      <w:r>
        <w:rPr>
          <w:rFonts w:hint="eastAsia" w:eastAsia="宋体"/>
          <w:color w:val="C00000"/>
          <w:sz w:val="22"/>
          <w:szCs w:val="22"/>
          <w:lang w:eastAsia="zh-CN"/>
        </w:rPr>
        <w:drawing>
          <wp:anchor distT="0" distB="0" distL="114300" distR="114300" simplePos="0" relativeHeight="251662336" behindDoc="0" locked="0" layoutInCell="1" allowOverlap="1">
            <wp:simplePos x="0" y="0"/>
            <wp:positionH relativeFrom="column">
              <wp:posOffset>88265</wp:posOffset>
            </wp:positionH>
            <wp:positionV relativeFrom="paragraph">
              <wp:posOffset>109855</wp:posOffset>
            </wp:positionV>
            <wp:extent cx="5416550" cy="3618230"/>
            <wp:effectExtent l="4445" t="4445" r="8255" b="1587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楷体_GB2312" w:hAnsi="楷体_GB2312" w:eastAsia="楷体_GB2312" w:cs="楷体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（二）年龄。</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用人单位需求用人年龄在16-24岁人员占11.78%，25-34岁人员占比26.55%，35-44岁人员占25.79%，45岁以上人员占9.45%，对年龄无要求的占26.43%。</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与上一季度相比，需求年龄在16-24岁的环比上升了414.83%，在25-34岁的环比上升了121.54%，在35-44岁的环比上升了76.47%，45岁以上的环比上升了55.36%，对年龄无要求的环比上升了99.55%。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与去年同期相比，需求年龄在16-24岁的同比下降了44.97%，在25-34岁的同比下降了25.97%，在35-44岁的同比上升了75.27%，45岁以上的同比上升了9.99%，对年龄无要求的同比上升了185.42%。</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求职者的年龄在16-24岁人员占16.16%，25-34岁的占比31.32%，35-44岁人员占33.21%，45岁以上的占比19.32%。</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与上一季度相比，求职年龄在16-24岁的环比上升了148.68%，在25-34岁的环比上升了99.29%，在35-44岁的环比上升了95.27%，45岁以上的环比上升了103.42%。</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与去年同期相比，求职年龄在16-24岁的同比下降了24.34%，在25-34岁的同比上升了3.04%，在35-44岁的同比上升了113.99%，45岁以上的同比上升了91.53%。</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color w:val="C00000"/>
          <w:sz w:val="32"/>
          <w:szCs w:val="32"/>
        </w:rPr>
        <w:sectPr>
          <w:pgSz w:w="11906" w:h="16838"/>
          <w:pgMar w:top="2098" w:right="1474" w:bottom="2041"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表10. 按年龄分组的供求人数</w:t>
      </w:r>
    </w:p>
    <w:tbl>
      <w:tblPr>
        <w:tblStyle w:val="9"/>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527"/>
        <w:gridCol w:w="1140"/>
        <w:gridCol w:w="1188"/>
        <w:gridCol w:w="1123"/>
        <w:gridCol w:w="1123"/>
        <w:gridCol w:w="1140"/>
        <w:gridCol w:w="1188"/>
        <w:gridCol w:w="1123"/>
        <w:gridCol w:w="1123"/>
        <w:gridCol w:w="1224"/>
        <w:gridCol w:w="1019"/>
        <w:gridCol w:w="11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75" w:hRule="atLeast"/>
          <w:tblCellSpacing w:w="0" w:type="dxa"/>
          <w:jc w:val="center"/>
        </w:trPr>
        <w:tc>
          <w:tcPr>
            <w:tcW w:w="543"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年龄 　</w:t>
            </w:r>
          </w:p>
        </w:tc>
        <w:tc>
          <w:tcPr>
            <w:tcW w:w="4456" w:type="pct"/>
            <w:gridSpan w:val="11"/>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劳动力供求人数比较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372" w:hRule="atLeast"/>
          <w:tblCellSpacing w:w="0" w:type="dxa"/>
          <w:jc w:val="center"/>
        </w:trPr>
        <w:tc>
          <w:tcPr>
            <w:tcW w:w="543" w:type="pct"/>
            <w:vMerge w:val="continue"/>
            <w:tcBorders>
              <w:top w:val="outset" w:color="auto" w:sz="6" w:space="0"/>
              <w:left w:val="outset" w:color="auto" w:sz="6" w:space="0"/>
              <w:bottom w:val="outset" w:color="auto" w:sz="6" w:space="0"/>
              <w:right w:val="outset" w:color="auto" w:sz="6" w:space="0"/>
            </w:tcBorders>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需求人数 (人)</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需求比重(%)</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与上季度相比需求变化(%)</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与去年同期相比需求变化(%)</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求职人数 (人)</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求职比重(%)</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与上季度相比求职变化(%)</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与去年同期相比求职变化(%)</w:t>
            </w:r>
          </w:p>
        </w:tc>
        <w:tc>
          <w:tcPr>
            <w:tcW w:w="4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求人倍率</w:t>
            </w:r>
          </w:p>
        </w:tc>
        <w:tc>
          <w:tcPr>
            <w:tcW w:w="36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与上季度相比供求变化</w:t>
            </w:r>
          </w:p>
        </w:tc>
        <w:tc>
          <w:tcPr>
            <w:tcW w:w="40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与去年同期相比供求变化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bookmarkStart w:id="9" w:name="OLE_LINK4" w:colFirst="5" w:colLast="6"/>
            <w:bookmarkStart w:id="10" w:name="OLE_LINK3" w:colFirst="2" w:colLast="2"/>
            <w:r>
              <w:rPr>
                <w:rFonts w:hint="eastAsia" w:ascii="Times New Roman" w:hAnsi="Times New Roman" w:eastAsia="仿宋_GB2312" w:cs="Times New Roman"/>
                <w:b/>
                <w:bCs/>
                <w:color w:val="auto"/>
                <w:kern w:val="2"/>
                <w:sz w:val="24"/>
                <w:szCs w:val="24"/>
                <w:lang w:val="en-US" w:eastAsia="zh-CN" w:bidi="ar-SA"/>
              </w:rPr>
              <w:t>16-24岁</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1,771</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11.78</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414.83</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-44.97</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1,890</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16.16</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148.68</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-24.34</w:t>
            </w:r>
          </w:p>
        </w:tc>
        <w:tc>
          <w:tcPr>
            <w:tcW w:w="4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1.28</w:t>
            </w:r>
          </w:p>
        </w:tc>
        <w:tc>
          <w:tcPr>
            <w:tcW w:w="36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0.48</w:t>
            </w:r>
          </w:p>
        </w:tc>
        <w:tc>
          <w:tcPr>
            <w:tcW w:w="40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25-34岁</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3,990</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26.55</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121.54</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-25.97</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3,663</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31.32</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99.29</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3.04</w:t>
            </w:r>
          </w:p>
        </w:tc>
        <w:tc>
          <w:tcPr>
            <w:tcW w:w="4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1.43</w:t>
            </w:r>
          </w:p>
        </w:tc>
        <w:tc>
          <w:tcPr>
            <w:tcW w:w="36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w:t>
            </w:r>
          </w:p>
        </w:tc>
        <w:tc>
          <w:tcPr>
            <w:tcW w:w="40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51"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35-44岁</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3,877</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25.79</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76.47</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75.27</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3,884</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33.21</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95.27</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113.99</w:t>
            </w:r>
          </w:p>
        </w:tc>
        <w:tc>
          <w:tcPr>
            <w:tcW w:w="4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1.34</w:t>
            </w:r>
          </w:p>
        </w:tc>
        <w:tc>
          <w:tcPr>
            <w:tcW w:w="36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-0.11</w:t>
            </w:r>
          </w:p>
        </w:tc>
        <w:tc>
          <w:tcPr>
            <w:tcW w:w="40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45岁以上</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1,420</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9.45</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55.36</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9.99</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2,260</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19.32</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103.42</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91.53</w:t>
            </w:r>
          </w:p>
        </w:tc>
        <w:tc>
          <w:tcPr>
            <w:tcW w:w="4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0.97</w:t>
            </w:r>
          </w:p>
        </w:tc>
        <w:tc>
          <w:tcPr>
            <w:tcW w:w="36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w:t>
            </w:r>
          </w:p>
        </w:tc>
        <w:tc>
          <w:tcPr>
            <w:tcW w:w="40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-0.28</w:t>
            </w:r>
          </w:p>
        </w:tc>
      </w:tr>
      <w:bookmarkEnd w:id="9"/>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无要求</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3,973</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26.43</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99.55</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185.42</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4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36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40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r>
      <w:bookmarkEnd w:id="10"/>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75"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合计</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15,031</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107.41</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11.32</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11,697</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105.28</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29.28</w:t>
            </w:r>
          </w:p>
        </w:tc>
        <w:tc>
          <w:tcPr>
            <w:tcW w:w="4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1.29</w:t>
            </w:r>
          </w:p>
        </w:tc>
        <w:tc>
          <w:tcPr>
            <w:tcW w:w="36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0.02</w:t>
            </w:r>
          </w:p>
        </w:tc>
        <w:tc>
          <w:tcPr>
            <w:tcW w:w="40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w:t>
            </w:r>
          </w:p>
        </w:tc>
      </w:tr>
    </w:tbl>
    <w:p>
      <w:pPr>
        <w:pStyle w:val="8"/>
        <w:spacing w:line="300" w:lineRule="atLeast"/>
        <w:jc w:val="center"/>
        <w:rPr>
          <w:rFonts w:hint="eastAsia" w:eastAsia="宋体"/>
          <w:color w:val="C00000"/>
          <w:sz w:val="22"/>
          <w:szCs w:val="22"/>
          <w:lang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eastAsia="宋体"/>
          <w:color w:val="C00000"/>
          <w:sz w:val="22"/>
          <w:szCs w:val="22"/>
          <w:lang w:eastAsia="zh-CN"/>
        </w:rPr>
        <w:drawing>
          <wp:inline distT="0" distB="0" distL="114300" distR="114300">
            <wp:extent cx="8021955" cy="5262245"/>
            <wp:effectExtent l="4445" t="5080" r="1270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（三）文化程度。</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用人单位对需求的文化程度在初中及以下、高中的占比为0.95%和6.86%，要求大专、本科、硕士及以上学历，分别占岗位总数的20.96%、10.75%和0.34%，无学历要求的占60.14%；</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一季度相比，用人单位对文化程度要求在初中及以下和本科的分别环比下降72.07%和2.71%，其余需求均有不同程度的上升。与去年同期相比，要求本科学历和无学历要求的分别同比上升8.68%和252.02%，其余文化程度需求均有所下降。</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求职者文化程度为初中及以下的占比6.19%，高中的占比为19.39%，大专的占比42%，本科及硕士以上的分别占比31.85%和0.57%。</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一季度相比，初中及以下学历和硕士以上学历分别环比下降32.90%和41.23%，其余文化程度求职者均有所上升。与去年同期相比，大专、本科和硕士以上学历分别同比上升了61.77%、198.96%和3250%，其余文化程度求职者有所下降。</w:t>
      </w:r>
    </w:p>
    <w:p>
      <w:pPr>
        <w:pStyle w:val="8"/>
        <w:spacing w:line="300" w:lineRule="atLeast"/>
        <w:jc w:val="center"/>
        <w:rPr>
          <w:rFonts w:hint="eastAsia"/>
          <w:color w:val="auto"/>
          <w:sz w:val="22"/>
          <w:szCs w:val="22"/>
        </w:rPr>
      </w:pPr>
      <w:r>
        <w:rPr>
          <w:rFonts w:hint="eastAsia"/>
          <w:color w:val="auto"/>
          <w:sz w:val="22"/>
          <w:szCs w:val="22"/>
        </w:rPr>
        <w:t>　</w:t>
      </w:r>
    </w:p>
    <w:p>
      <w:pPr>
        <w:pStyle w:val="8"/>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color w:val="C00000"/>
          <w:sz w:val="22"/>
          <w:szCs w:val="22"/>
        </w:rPr>
        <w:sectPr>
          <w:pgSz w:w="11906" w:h="16838"/>
          <w:pgMar w:top="2098" w:right="1474" w:bottom="2041"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表11. 按文化程度分组的供求人数</w:t>
      </w:r>
    </w:p>
    <w:tbl>
      <w:tblPr>
        <w:tblStyle w:val="9"/>
        <w:tblW w:w="4997"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732"/>
        <w:gridCol w:w="943"/>
        <w:gridCol w:w="974"/>
        <w:gridCol w:w="1157"/>
        <w:gridCol w:w="1216"/>
        <w:gridCol w:w="867"/>
        <w:gridCol w:w="962"/>
        <w:gridCol w:w="1159"/>
        <w:gridCol w:w="1370"/>
        <w:gridCol w:w="704"/>
        <w:gridCol w:w="962"/>
        <w:gridCol w:w="962"/>
        <w:gridCol w:w="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50" w:hRule="atLeast"/>
          <w:tblCellSpacing w:w="0" w:type="dxa"/>
          <w:jc w:val="center"/>
        </w:trPr>
        <w:tc>
          <w:tcPr>
            <w:tcW w:w="971"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文化程度</w:t>
            </w:r>
          </w:p>
        </w:tc>
        <w:tc>
          <w:tcPr>
            <w:tcW w:w="4028" w:type="pct"/>
            <w:gridSpan w:val="1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劳动力供求人数比较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2041" w:hRule="atLeast"/>
          <w:tblCellSpacing w:w="0" w:type="dxa"/>
          <w:jc w:val="center"/>
        </w:trPr>
        <w:tc>
          <w:tcPr>
            <w:tcW w:w="971" w:type="pct"/>
            <w:vMerge w:val="continue"/>
            <w:tcBorders>
              <w:top w:val="outset" w:color="auto" w:sz="6" w:space="0"/>
              <w:left w:val="outset" w:color="auto" w:sz="6" w:space="0"/>
              <w:bottom w:val="outset" w:color="auto" w:sz="6" w:space="0"/>
              <w:right w:val="outset" w:color="auto" w:sz="6" w:space="0"/>
            </w:tcBorders>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需求人数(人)</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需求比重(%)</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与上季度相比需求变化(%)</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与去年同期相比需求变化(%)</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求职人数(人)</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求职比重(%)</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与上季度相比求职变化(%)</w:t>
            </w:r>
          </w:p>
        </w:tc>
        <w:tc>
          <w:tcPr>
            <w:tcW w:w="4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与去年同期相比求职变化(%)</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求人倍率</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与上季度相比供求变化</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 同期相比供求变化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lang w:val="en-US" w:eastAsia="zh-CN" w:bidi="ar-SA"/>
              </w:rPr>
            </w:pPr>
            <w:bookmarkStart w:id="11" w:name="OLE_LINK23" w:colFirst="9" w:colLast="9"/>
            <w:bookmarkStart w:id="12" w:name="OLE_LINK6" w:colFirst="5" w:colLast="5"/>
            <w:bookmarkStart w:id="13" w:name="OLE_LINK8" w:colFirst="6" w:colLast="6"/>
            <w:bookmarkStart w:id="14" w:name="OLE_LINK26" w:colFirst="5" w:colLast="6"/>
            <w:bookmarkStart w:id="15" w:name="OLE_LINK7" w:colFirst="2" w:colLast="2"/>
            <w:bookmarkStart w:id="16" w:name="OLE_LINK25" w:colFirst="1" w:colLast="2"/>
            <w:bookmarkStart w:id="17" w:name="OLE_LINK5" w:colFirst="1" w:colLast="1"/>
            <w:bookmarkStart w:id="18" w:name="OLE_LINK22" w:colFirst="1" w:colLast="1"/>
            <w:r>
              <w:rPr>
                <w:rFonts w:hint="eastAsia" w:ascii="Times New Roman" w:hAnsi="Times New Roman" w:eastAsia="仿宋_GB2312" w:cs="Times New Roman"/>
                <w:b/>
                <w:bCs/>
                <w:color w:val="auto"/>
                <w:kern w:val="2"/>
                <w:sz w:val="24"/>
                <w:szCs w:val="24"/>
                <w:lang w:val="en-US" w:eastAsia="zh-CN" w:bidi="ar-SA"/>
              </w:rPr>
              <w:t>初中及以下</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143</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0.95</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-72.07</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-91.71</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724</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6.19</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-32.90</w:t>
            </w:r>
          </w:p>
        </w:tc>
        <w:tc>
          <w:tcPr>
            <w:tcW w:w="4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-48.54</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0.97</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0.03</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-0.54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高中</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1,031</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6.86</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10.74</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-72.59</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2,268</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19.39</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45.38</w:t>
            </w:r>
          </w:p>
        </w:tc>
        <w:tc>
          <w:tcPr>
            <w:tcW w:w="4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-32.42</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1.23</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0.17</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68"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其中：职高、技校、中专</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372</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36.08</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-2.87</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-84.73</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1,083</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47.75</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82.02</w:t>
            </w:r>
          </w:p>
        </w:tc>
        <w:tc>
          <w:tcPr>
            <w:tcW w:w="4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-27.80</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0.93</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-0.22</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大专</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3,150</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20.96</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113.99</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-19.42</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4,913</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42.00</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216.36</w:t>
            </w:r>
          </w:p>
        </w:tc>
        <w:tc>
          <w:tcPr>
            <w:tcW w:w="4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61.77</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1.41</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大学</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1,616</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10.75</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-2.71</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8.68</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3,725</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31.85</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167.60</w:t>
            </w:r>
          </w:p>
        </w:tc>
        <w:tc>
          <w:tcPr>
            <w:tcW w:w="4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198.96</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1.21</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-0.45</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硕士以上</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51</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0.34</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218.75</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-3.77</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67</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0.57</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-41.23</w:t>
            </w:r>
          </w:p>
        </w:tc>
        <w:tc>
          <w:tcPr>
            <w:tcW w:w="4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3250.00</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1.53</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0.92</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-25.23</w:t>
            </w:r>
          </w:p>
        </w:tc>
      </w:tr>
      <w:bookmarkEnd w:id="11"/>
      <w:bookmarkEnd w:id="12"/>
      <w:bookmarkEnd w:id="13"/>
      <w:bookmarkEnd w:id="14"/>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无要求</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9,040</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60.14</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240.49</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252.02</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4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r>
      <w:bookmarkEnd w:id="15"/>
      <w:bookmarkEnd w:id="16"/>
      <w:bookmarkEnd w:id="17"/>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50"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合计</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15,031</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107.41</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11.32</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11,697</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105.28</w:t>
            </w:r>
          </w:p>
        </w:tc>
        <w:tc>
          <w:tcPr>
            <w:tcW w:w="4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29.28</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r>
      <w:bookmarkEnd w:id="18"/>
    </w:tbl>
    <w:p>
      <w:pPr>
        <w:pStyle w:val="8"/>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C00000"/>
          <w:sz w:val="22"/>
          <w:szCs w:val="22"/>
          <w:lang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color w:val="C00000"/>
          <w:sz w:val="22"/>
          <w:szCs w:val="22"/>
          <w:lang w:val="en-US" w:eastAsia="zh-CN"/>
        </w:rPr>
        <w:t xml:space="preserve">    </w:t>
      </w:r>
      <w:r>
        <w:rPr>
          <w:rFonts w:hint="eastAsia" w:eastAsia="宋体"/>
          <w:color w:val="C00000"/>
          <w:sz w:val="22"/>
          <w:szCs w:val="22"/>
          <w:lang w:eastAsia="zh-CN"/>
        </w:rPr>
        <w:drawing>
          <wp:inline distT="0" distB="0" distL="114300" distR="114300">
            <wp:extent cx="8438515" cy="5502275"/>
            <wp:effectExtent l="4445" t="4445" r="15240"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（四）技术等级或职称。</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用人单位对技术等级无要求的占87.51%，要求初级专业技术职务和职业资格五级的占比为5.24%和3.05%，中级专业技术职务和职业资格四级的占比为1.31%和2.19%；高级专业技术职务和职业资格一、二级的占比为0.21%、0.38%、0.11%。</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一季度相比，对技术等级无要求的增加了8461人，环比上升180.33%，需求初级专业技术职务增加了290人，环比上升58.23%，需求中级专业技术职务的减少了1026人，环比下降83.89%，需求高级专业技术职务的减少了14人，环比下降31.11%。职业资格五级需求人数增加了213人，环比上升86.59%，职业资格四级需求人数减少了32人，环比下降8.86%。职业资格三级、职业资格二级需求人数分别减少了92人、53人，环比下降100%、75.71%。</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去年同期相比，对技术等级无要求的增加了9896人，同比上升303.84%，需求初级专业技术职务、中级专业技术职务和高级专业技术职务的人数分别减少了4323人、3174人和70人，同比下降84.58%，94.16%和69.31%，职业资格五级、四级、三级、二级需求人数分别减少了407人、330人、93人、9人，同比下降了47%、50.08%、100%和34.62%，职业资格一级需求人数增加了38人，同比上升200%。</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求职者无技术等级或职称的占比94.21%，初级专业技术职务和职业资格五级的占比为1.92%和1.98%，中级专业技术职务和职业资格四级的占比为0.12%和1.26%；高级专业技术职务和职业资格二、三级的占比为0.02%、0.32%、0.17%。</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上季度相比，无技术等级或职称的增加了6294人，环比上升133.18%，求职者为初级专业技术职务的减少了316人，环比下降了58.41%，为职业资格五级、四级、三级的分别减少了114人、122人和8人，环比下降96.61%、488%和66.67%，为职业资格二级、一级的分别减少了25人和5人，环比下降40.32%和100%，为中级专业技术职务和高级专业技术职务的分别减少了129人和64人，环比下降90.21%和96.97%。</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与去年同期相比，无技术等级或职称的增加了5652人，同比上升105.29%，职业资格五级、四级、三级、二级、一级的求职者分别减少了152人、28人、25人、10人、10人，同比下降39.58%、16%、55.56%、21.28%和100%，初级专业技术职务、中级专业技术职务和高级专业技术职务分别减少了1090人、1629人和59人，同比下降82.89%，99.15%和96.72%。</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C00000"/>
          <w:sz w:val="32"/>
          <w:szCs w:val="32"/>
          <w:lang w:val="en-US" w:eastAsia="zh-CN"/>
        </w:rPr>
        <w:sectPr>
          <w:pgSz w:w="11906" w:h="16838"/>
          <w:pgMar w:top="2098" w:right="1474" w:bottom="2041"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表12. 按技术等级分组的供求人数</w:t>
      </w:r>
    </w:p>
    <w:tbl>
      <w:tblPr>
        <w:tblStyle w:val="9"/>
        <w:tblW w:w="4999"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046"/>
        <w:gridCol w:w="999"/>
        <w:gridCol w:w="999"/>
        <w:gridCol w:w="999"/>
        <w:gridCol w:w="1101"/>
        <w:gridCol w:w="901"/>
        <w:gridCol w:w="999"/>
        <w:gridCol w:w="1002"/>
        <w:gridCol w:w="1120"/>
        <w:gridCol w:w="884"/>
        <w:gridCol w:w="915"/>
        <w:gridCol w:w="11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技术等级</w:t>
            </w:r>
          </w:p>
        </w:tc>
        <w:tc>
          <w:tcPr>
            <w:tcW w:w="3917" w:type="pct"/>
            <w:gridSpan w:val="11"/>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劳动力供求人数比较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254" w:hRule="atLeast"/>
          <w:tblCellSpacing w:w="0" w:type="dxa"/>
          <w:jc w:val="center"/>
        </w:trPr>
        <w:tc>
          <w:tcPr>
            <w:tcW w:w="1082" w:type="pct"/>
            <w:vMerge w:val="continue"/>
            <w:tcBorders>
              <w:top w:val="outset" w:color="auto" w:sz="6" w:space="0"/>
              <w:left w:val="outset" w:color="auto" w:sz="6" w:space="0"/>
              <w:bottom w:val="outset" w:color="auto" w:sz="6" w:space="0"/>
              <w:right w:val="outset" w:color="auto" w:sz="6" w:space="0"/>
            </w:tcBorders>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p>
        </w:tc>
        <w:tc>
          <w:tcPr>
            <w:tcW w:w="35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需求人数(人)</w:t>
            </w:r>
          </w:p>
        </w:tc>
        <w:tc>
          <w:tcPr>
            <w:tcW w:w="35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需求比重(%)</w:t>
            </w:r>
          </w:p>
        </w:tc>
        <w:tc>
          <w:tcPr>
            <w:tcW w:w="35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求职人数(人)</w:t>
            </w:r>
          </w:p>
        </w:tc>
        <w:tc>
          <w:tcPr>
            <w:tcW w:w="35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求职比重(%)</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w:t>
            </w:r>
          </w:p>
        </w:tc>
        <w:tc>
          <w:tcPr>
            <w:tcW w:w="39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与去年同期相比(%)</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求人</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倍率</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与上季度相比</w:t>
            </w:r>
          </w:p>
        </w:tc>
        <w:tc>
          <w:tcPr>
            <w:tcW w:w="3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与去年 同期相比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bookmarkStart w:id="19" w:name="OLE_LINK29" w:colFirst="9" w:colLast="9"/>
            <w:bookmarkStart w:id="20" w:name="OLE_LINK10" w:colFirst="5" w:colLast="5"/>
            <w:bookmarkStart w:id="21" w:name="OLE_LINK11" w:colFirst="6" w:colLast="6"/>
            <w:bookmarkStart w:id="22" w:name="OLE_LINK9" w:colFirst="1" w:colLast="1"/>
            <w:bookmarkStart w:id="23" w:name="OLE_LINK28" w:colFirst="5" w:colLast="5"/>
            <w:bookmarkStart w:id="24" w:name="OLE_LINK27" w:colFirst="1" w:colLast="1"/>
            <w:r>
              <w:rPr>
                <w:rFonts w:hint="eastAsia" w:ascii="Times New Roman" w:hAnsi="Times New Roman" w:eastAsia="仿宋_GB2312" w:cs="Times New Roman"/>
                <w:b/>
                <w:bCs/>
                <w:color w:val="auto"/>
                <w:kern w:val="2"/>
                <w:sz w:val="24"/>
                <w:szCs w:val="24"/>
                <w:lang w:val="en-US" w:eastAsia="zh-CN" w:bidi="ar-SA"/>
              </w:rPr>
              <w:t>职业资格五级(初级技能)</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459</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3.05</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86.59</w:t>
            </w:r>
          </w:p>
        </w:tc>
        <w:tc>
          <w:tcPr>
            <w:tcW w:w="11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-47.00</w:t>
            </w:r>
          </w:p>
        </w:tc>
        <w:tc>
          <w:tcPr>
            <w:tcW w:w="9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232</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1.98</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96.61</w:t>
            </w:r>
          </w:p>
        </w:tc>
        <w:tc>
          <w:tcPr>
            <w:tcW w:w="112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-39.58</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3.10</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0.19</w:t>
            </w:r>
          </w:p>
        </w:tc>
        <w:tc>
          <w:tcPr>
            <w:tcW w:w="11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0.49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职业资格四级(中级技能)</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329</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2.19</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-8.86</w:t>
            </w:r>
          </w:p>
        </w:tc>
        <w:tc>
          <w:tcPr>
            <w:tcW w:w="11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-50.08</w:t>
            </w:r>
          </w:p>
        </w:tc>
        <w:tc>
          <w:tcPr>
            <w:tcW w:w="9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147</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1.26</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488.00</w:t>
            </w:r>
          </w:p>
        </w:tc>
        <w:tc>
          <w:tcPr>
            <w:tcW w:w="112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-16.00</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3.37</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-11.9</w:t>
            </w:r>
          </w:p>
        </w:tc>
        <w:tc>
          <w:tcPr>
            <w:tcW w:w="11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-0.75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职业资格三级(高级技能)</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9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0.17</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66.67</w:t>
            </w:r>
          </w:p>
        </w:tc>
        <w:tc>
          <w:tcPr>
            <w:tcW w:w="112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-55.56</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1.12</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-7.37</w:t>
            </w:r>
          </w:p>
        </w:tc>
        <w:tc>
          <w:tcPr>
            <w:tcW w:w="11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职业资格二级(技师)</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17</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0.11</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-75.71</w:t>
            </w:r>
          </w:p>
        </w:tc>
        <w:tc>
          <w:tcPr>
            <w:tcW w:w="11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-34.62</w:t>
            </w:r>
          </w:p>
        </w:tc>
        <w:tc>
          <w:tcPr>
            <w:tcW w:w="9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37</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0.32</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-40.32</w:t>
            </w:r>
          </w:p>
        </w:tc>
        <w:tc>
          <w:tcPr>
            <w:tcW w:w="112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-21.28</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1.60</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-0.35</w:t>
            </w:r>
          </w:p>
        </w:tc>
        <w:tc>
          <w:tcPr>
            <w:tcW w:w="11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0.69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职业资格一级(高级技师)</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57</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0.38</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185.00</w:t>
            </w:r>
          </w:p>
        </w:tc>
        <w:tc>
          <w:tcPr>
            <w:tcW w:w="11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200.00</w:t>
            </w:r>
          </w:p>
        </w:tc>
        <w:tc>
          <w:tcPr>
            <w:tcW w:w="9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0.00</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112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-100.00</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lang w:val="en-US" w:eastAsia="zh-CN" w:bidi="ar-SA"/>
              </w:rPr>
            </w:pP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-4.84</w:t>
            </w:r>
          </w:p>
        </w:tc>
        <w:tc>
          <w:tcPr>
            <w:tcW w:w="11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-2.26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初级专业技术职务</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788</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5.24</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58.23</w:t>
            </w:r>
          </w:p>
        </w:tc>
        <w:tc>
          <w:tcPr>
            <w:tcW w:w="11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-84.58</w:t>
            </w:r>
          </w:p>
        </w:tc>
        <w:tc>
          <w:tcPr>
            <w:tcW w:w="9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225</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1.92</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-58.41</w:t>
            </w:r>
          </w:p>
        </w:tc>
        <w:tc>
          <w:tcPr>
            <w:tcW w:w="112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-82.89</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4.62</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2.88</w:t>
            </w:r>
          </w:p>
        </w:tc>
        <w:tc>
          <w:tcPr>
            <w:tcW w:w="11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中级专业技术职务</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197</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1.31</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-83.89</w:t>
            </w:r>
          </w:p>
        </w:tc>
        <w:tc>
          <w:tcPr>
            <w:tcW w:w="11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-94.16</w:t>
            </w:r>
          </w:p>
        </w:tc>
        <w:tc>
          <w:tcPr>
            <w:tcW w:w="9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0.12</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-90.21</w:t>
            </w:r>
          </w:p>
        </w:tc>
        <w:tc>
          <w:tcPr>
            <w:tcW w:w="112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-99.15</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15.20</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5.82</w:t>
            </w:r>
          </w:p>
        </w:tc>
        <w:tc>
          <w:tcPr>
            <w:tcW w:w="11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12.79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高级专业技术职务</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0.21</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-31.11</w:t>
            </w:r>
          </w:p>
        </w:tc>
        <w:tc>
          <w:tcPr>
            <w:tcW w:w="11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-69.31</w:t>
            </w:r>
          </w:p>
        </w:tc>
        <w:tc>
          <w:tcPr>
            <w:tcW w:w="9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0.02</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-96.97</w:t>
            </w:r>
          </w:p>
        </w:tc>
        <w:tc>
          <w:tcPr>
            <w:tcW w:w="112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-96.72</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16.82</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15.31</w:t>
            </w:r>
          </w:p>
        </w:tc>
        <w:tc>
          <w:tcPr>
            <w:tcW w:w="11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14.81</w:t>
            </w:r>
          </w:p>
        </w:tc>
      </w:tr>
      <w:bookmarkEnd w:id="19"/>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无技术等级或职称</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11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9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11,020</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94.21</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133.18</w:t>
            </w:r>
          </w:p>
        </w:tc>
        <w:tc>
          <w:tcPr>
            <w:tcW w:w="112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105.29</w:t>
            </w:r>
          </w:p>
        </w:tc>
        <w:tc>
          <w:tcPr>
            <w:tcW w:w="88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1.12</w:t>
            </w:r>
          </w:p>
        </w:tc>
        <w:tc>
          <w:tcPr>
            <w:tcW w:w="9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0.3</w:t>
            </w:r>
          </w:p>
        </w:tc>
        <w:tc>
          <w:tcPr>
            <w:tcW w:w="110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0.76</w:t>
            </w:r>
          </w:p>
        </w:tc>
      </w:tr>
      <w:bookmarkEnd w:id="20"/>
      <w:bookmarkEnd w:id="21"/>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无要求</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13,153</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87.51</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180.33</w:t>
            </w:r>
          </w:p>
        </w:tc>
        <w:tc>
          <w:tcPr>
            <w:tcW w:w="11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303.84</w:t>
            </w:r>
          </w:p>
        </w:tc>
        <w:tc>
          <w:tcPr>
            <w:tcW w:w="9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112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c>
          <w:tcPr>
            <w:tcW w:w="3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r>
      <w:bookmarkEnd w:id="22"/>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eastAsia="仿宋_GB2312" w:cs="Times New Roman"/>
                <w:b/>
                <w:bCs/>
                <w:color w:val="auto"/>
                <w:kern w:val="2"/>
                <w:sz w:val="24"/>
                <w:szCs w:val="24"/>
                <w:lang w:val="en-US" w:eastAsia="zh-CN" w:bidi="ar-SA"/>
              </w:rPr>
              <w:t>合计</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15,031</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107.41</w:t>
            </w:r>
          </w:p>
        </w:tc>
        <w:tc>
          <w:tcPr>
            <w:tcW w:w="11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11.32</w:t>
            </w:r>
          </w:p>
        </w:tc>
        <w:tc>
          <w:tcPr>
            <w:tcW w:w="90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11,697</w:t>
            </w:r>
          </w:p>
        </w:tc>
        <w:tc>
          <w:tcPr>
            <w:tcW w:w="99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0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105.28</w:t>
            </w:r>
          </w:p>
        </w:tc>
        <w:tc>
          <w:tcPr>
            <w:tcW w:w="112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29.28</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c>
          <w:tcPr>
            <w:tcW w:w="3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w:t>
            </w:r>
          </w:p>
        </w:tc>
      </w:tr>
      <w:bookmarkEnd w:id="23"/>
      <w:bookmarkEnd w:id="24"/>
    </w:tbl>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200" w:leftChars="-500" w:firstLine="560" w:firstLineChars="200"/>
        <w:textAlignment w:val="auto"/>
        <w:rPr>
          <w:rFonts w:hint="eastAsia"/>
          <w:color w:val="C00000"/>
          <w:sz w:val="28"/>
          <w:szCs w:val="28"/>
          <w:lang w:val="en-US"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color w:val="C00000"/>
          <w:sz w:val="28"/>
          <w:szCs w:val="28"/>
          <w:lang w:val="en-US" w:eastAsia="zh-CN"/>
        </w:rPr>
        <w:drawing>
          <wp:anchor distT="0" distB="0" distL="114300" distR="114300" simplePos="0" relativeHeight="251663360" behindDoc="1" locked="0" layoutInCell="1" allowOverlap="1">
            <wp:simplePos x="0" y="0"/>
            <wp:positionH relativeFrom="column">
              <wp:posOffset>-41275</wp:posOffset>
            </wp:positionH>
            <wp:positionV relativeFrom="paragraph">
              <wp:posOffset>-16510</wp:posOffset>
            </wp:positionV>
            <wp:extent cx="8945880" cy="5274945"/>
            <wp:effectExtent l="4445" t="4445" r="22225" b="16510"/>
            <wp:wrapTight wrapText="bothSides">
              <wp:wrapPolygon>
                <wp:start x="-11" y="-18"/>
                <wp:lineTo x="-11" y="21512"/>
                <wp:lineTo x="21562" y="21512"/>
                <wp:lineTo x="21562" y="-18"/>
                <wp:lineTo x="-11" y="-18"/>
              </wp:wrapPolygon>
            </wp:wrapTight>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color w:val="C00000"/>
          <w:sz w:val="28"/>
          <w:szCs w:val="28"/>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八、分析总结、存在问题及下一步工作措施</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（一）分析总结。</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一是我盟人力资源市场2024年第二季度统计用人单位需求人数略大于求职人数，求人倍率1.29，市场供求总体保持平稳。</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是企业是就业岗位来源的主要渠道，从产业结构需求角度看以服务业为代表的第三产业和以制造业为代表的第二产业在吸纳就业中占主导，特别是第三产业最为明显。从行业需求看，居民服务和其他服务业，住宿和餐饮业，批发和零售业仍是我盟主要的用工需求种类。</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是从用人单位经济类型看，企业用人需求仍占主体地位，所占比重达98.17%，以企业需求为主的总体格局基本保持不变；从各类职业的需求状况看，办事人员和有关人员、社会生产服务和生活服务人员、生产制造及有关人员是第二季度用人需求的主体，合计占全部用人需求的78.84%，从求职情况看，求职人员相对集中的职业和用人需求之间基本保持一致，办事人员和有关人员、社会生产服务和生活服务人员、生产制造及有关人员所占求职人员的70.23%。</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四是我盟市场对有技术等级和专业技术职称的用人需求相比上季度虽呈现下降趋势，无技术等级需求的占87.51%，但技能人才和专业人才供不应求的现象依然存在，其中</w:t>
      </w:r>
      <w:r>
        <w:rPr>
          <w:rFonts w:hint="eastAsia" w:ascii="仿宋_GB2312" w:hAnsi="仿宋_GB2312" w:eastAsia="仿宋_GB2312" w:cs="仿宋_GB2312"/>
          <w:color w:val="auto"/>
          <w:kern w:val="2"/>
          <w:sz w:val="32"/>
          <w:szCs w:val="32"/>
          <w:lang w:val="en-US" w:eastAsia="zh-CN" w:bidi="ar-SA"/>
        </w:rPr>
        <w:t>初级专业技术职务</w:t>
      </w:r>
      <w:r>
        <w:rPr>
          <w:rFonts w:hint="eastAsia" w:ascii="仿宋_GB2312" w:hAnsi="仿宋_GB2312" w:eastAsia="仿宋_GB2312" w:cs="仿宋_GB2312"/>
          <w:color w:val="auto"/>
          <w:kern w:val="2"/>
          <w:sz w:val="32"/>
          <w:szCs w:val="32"/>
          <w:highlight w:val="none"/>
          <w:lang w:val="en-US" w:eastAsia="zh-CN" w:bidi="ar-SA"/>
        </w:rPr>
        <w:t>缺口较大。</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C0000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是我盟新成长失业青年和其他失业人员仍是两大求职主力，新成长失业青年占比23.48%，其他失业人员占比44.32%；求职者年龄在25-34和35-44岁之间的偏多，占比分别为31.32%和33.21%；男性求职者较多，占比54.75%；求职者中具备大专及本科文化程度占比较大，占比分别为42%和31.85%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（二）存在问题。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我盟企业用人需求仍占主体地位，且中小企业是用人主力军，高校毕业生等青年群体就业预期值偏高，高校毕业生作为就业重点群体之一，在面临就业压力时他们更倾向于考虑选择体制内工作，宁愿考研、考公务员和事业编“缓就业”也不愿意到第二、第三产业企业提供的岗位就业；</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目前我盟住宿和餐饮业、批发和零售业、制造业、居民服务和其他服务业等岗位持续需求量较大，而我盟求职人员更倾向于教师、办事人员等岗位，就导致了用人单位“招人难”，求职人员“找工作难”的现象。</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3.锡盟地区国企央企无自主招聘权限，均为上级部门统一招聘或进行校园招聘，本地高校毕业生等重点群体获取相关招聘信息渠道不畅。</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（三）下一步工作措施。</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我盟将持续推动职业技能培训与市场需求匹配，有针对性的开展“订单、定岗、定向”培训，稳步扩大培训规模，不断丰富培训内容，提高培训质量，重点加强农村牧区转移劳动者、脱贫人口、城镇失业人员、就业困难人员等群体技能培训，提升劳动者的就业能力，拓宽劳动者的就业渠道，化解劳动力市场结构性矛盾。</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完善重点群体就业支持政策，坚持把高校毕业生等青年群体就业作为重中之重，持续实施精准就业服务，聚焦就业困难高校毕业生，健全“1131”帮扶机制，实施“一人一策”，广泛开发就业见习岗位，引导高校毕业生参加就业见习，提升就业能力，开发政策性岗位安置高校毕业生，加强对困难毕业生的兜底帮扶，面向中小微企业和非公有企业征集开发适合高校毕业生就业岗位，储备经济社会发展人才。</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3.继续加强与重点企业的联系，获取招聘信息，在就业部门官方平台发布相关招聘信息，拓宽高校毕业生等重点群体的信息来源渠道。</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锡林郭勒盟就业服务中心与北京市丰台区和昌平区人社局搭建了区域间家政劳务协作平台，将北京人社局提供的岗位信息通过锡盟就业官方平台进行发布，促进内蒙古农村牧区劳动力特别是脱贫劳动力在京就业，破解企业用工和劳动者就业两难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5.我盟13个旗县市（区）全部建成了公共部门运营的</w:t>
      </w:r>
      <w:r>
        <w:rPr>
          <w:rFonts w:hint="eastAsia" w:ascii="仿宋_GB2312" w:hAnsi="仿宋_GB2312" w:eastAsia="仿宋_GB2312" w:cs="仿宋_GB2312"/>
          <w:color w:val="auto"/>
          <w:kern w:val="2"/>
          <w:sz w:val="32"/>
          <w:szCs w:val="32"/>
          <w:lang w:val="en-US" w:eastAsia="zh-CN" w:bidi="ar-SA"/>
        </w:rPr>
        <w:t>“零工市场”，</w:t>
      </w:r>
      <w:r>
        <w:rPr>
          <w:rFonts w:hint="eastAsia" w:ascii="仿宋_GB2312" w:hAnsi="仿宋_GB2312" w:eastAsia="仿宋_GB2312" w:cs="仿宋_GB2312"/>
          <w:color w:val="auto"/>
          <w:sz w:val="32"/>
          <w:szCs w:val="32"/>
          <w:lang w:val="en-US" w:eastAsia="zh-CN"/>
        </w:rPr>
        <w:t>免费为各类用工主体和各类务工人员提供线上线下用工登记、求职登记、职业指导、对接服务、培训与咨询等服务。下一步各地零工市场要进一步明确当地零工工资指导价位，促使用工透明化、规范化，继续提升服务水平，全力打造高效便捷的零工服务平台，</w:t>
      </w:r>
      <w:r>
        <w:rPr>
          <w:rFonts w:hint="eastAsia" w:ascii="仿宋_GB2312" w:hAnsi="仿宋_GB2312" w:eastAsia="仿宋_GB2312" w:cs="仿宋_GB2312"/>
          <w:color w:val="auto"/>
          <w:kern w:val="2"/>
          <w:sz w:val="32"/>
          <w:szCs w:val="32"/>
          <w:lang w:val="en-US" w:eastAsia="zh-CN" w:bidi="ar-SA"/>
        </w:rPr>
        <w:t>促进零工人员就业增收</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6.不断创新完善常态化直播带岗的内容、环节及技术相关方面的应用，提供岗位介绍、政策解读、就业创业指导等服务，打造一个服务效果好、群众满意度高的就业公共服务直播品牌，提升就业公共服务质量。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560" w:lineRule="exact"/>
        <w:ind w:firstLine="480" w:firstLineChars="200"/>
        <w:jc w:val="right"/>
        <w:textAlignment w:val="auto"/>
        <w:rPr>
          <w:color w:val="C00000"/>
        </w:rPr>
      </w:pPr>
      <w:bookmarkStart w:id="25" w:name="_GoBack"/>
      <w:bookmarkEnd w:id="25"/>
    </w:p>
    <w:sectPr>
      <w:pgSz w:w="11906" w:h="16838"/>
      <w:pgMar w:top="2098" w:right="1474"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enk Qagan Tig">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1"/>
                              <w:szCs w:val="21"/>
                              <w:lang w:val="en-US" w:eastAsia="zh-CN"/>
                            </w:rPr>
                          </w:pPr>
                          <w:r>
                            <w:rPr>
                              <w:rFonts w:hint="eastAsia"/>
                              <w:sz w:val="21"/>
                              <w:szCs w:val="21"/>
                              <w:lang w:eastAsia="zh-CN"/>
                            </w:rPr>
                            <w:t>—</w:t>
                          </w:r>
                          <w:r>
                            <w:rPr>
                              <w:rFonts w:hint="eastAsia"/>
                              <w:sz w:val="21"/>
                              <w:szCs w:val="21"/>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1"/>
                              <w:szCs w:val="21"/>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x5e1z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rPr>
                        <w:rFonts w:hint="eastAsia" w:eastAsia="宋体"/>
                        <w:sz w:val="21"/>
                        <w:szCs w:val="21"/>
                        <w:lang w:val="en-US" w:eastAsia="zh-CN"/>
                      </w:rPr>
                    </w:pPr>
                    <w:r>
                      <w:rPr>
                        <w:rFonts w:hint="eastAsia"/>
                        <w:sz w:val="21"/>
                        <w:szCs w:val="21"/>
                        <w:lang w:eastAsia="zh-CN"/>
                      </w:rPr>
                      <w:t>—</w:t>
                    </w:r>
                    <w:r>
                      <w:rPr>
                        <w:rFonts w:hint="eastAsia"/>
                        <w:sz w:val="21"/>
                        <w:szCs w:val="21"/>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1"/>
                        <w:szCs w:val="21"/>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mE2NzAwZDE5ODI5MTVlZTczMTkyYmU5NDZhNGMifQ=="/>
  </w:docVars>
  <w:rsids>
    <w:rsidRoot w:val="00000000"/>
    <w:rsid w:val="01786D21"/>
    <w:rsid w:val="02023712"/>
    <w:rsid w:val="029244E7"/>
    <w:rsid w:val="02BEAFAE"/>
    <w:rsid w:val="03950CEB"/>
    <w:rsid w:val="03D830B7"/>
    <w:rsid w:val="03E87ED9"/>
    <w:rsid w:val="03F6868C"/>
    <w:rsid w:val="03FF0AF6"/>
    <w:rsid w:val="064A20F9"/>
    <w:rsid w:val="06E60AFD"/>
    <w:rsid w:val="07852E9F"/>
    <w:rsid w:val="091D7025"/>
    <w:rsid w:val="0BF24D73"/>
    <w:rsid w:val="0C0D424F"/>
    <w:rsid w:val="0CBF5AE0"/>
    <w:rsid w:val="0D0A7F12"/>
    <w:rsid w:val="0F0E4A6B"/>
    <w:rsid w:val="0F7F26FB"/>
    <w:rsid w:val="0F941BF3"/>
    <w:rsid w:val="0F9D0A29"/>
    <w:rsid w:val="0FFFBF2E"/>
    <w:rsid w:val="10772163"/>
    <w:rsid w:val="108B0A9D"/>
    <w:rsid w:val="118E2FDF"/>
    <w:rsid w:val="11A51273"/>
    <w:rsid w:val="11DE2A6E"/>
    <w:rsid w:val="12AC38F3"/>
    <w:rsid w:val="133F9C77"/>
    <w:rsid w:val="13AF4621"/>
    <w:rsid w:val="144910C6"/>
    <w:rsid w:val="147D6C97"/>
    <w:rsid w:val="1484668F"/>
    <w:rsid w:val="14BE02FD"/>
    <w:rsid w:val="14DCC8E6"/>
    <w:rsid w:val="151744A1"/>
    <w:rsid w:val="156BB16A"/>
    <w:rsid w:val="17A61451"/>
    <w:rsid w:val="17FF9D18"/>
    <w:rsid w:val="18047D2E"/>
    <w:rsid w:val="198943B9"/>
    <w:rsid w:val="19898200"/>
    <w:rsid w:val="19A32E6F"/>
    <w:rsid w:val="1AAFB6A0"/>
    <w:rsid w:val="1AF0E69D"/>
    <w:rsid w:val="1B777030"/>
    <w:rsid w:val="1BC65FB1"/>
    <w:rsid w:val="1BFA5F24"/>
    <w:rsid w:val="1C5A2FE5"/>
    <w:rsid w:val="1D7591D7"/>
    <w:rsid w:val="1DFFDD1F"/>
    <w:rsid w:val="1E7F7E18"/>
    <w:rsid w:val="1EDF76C8"/>
    <w:rsid w:val="1EFF140F"/>
    <w:rsid w:val="1F7D78E1"/>
    <w:rsid w:val="1FAB2D67"/>
    <w:rsid w:val="1FBD443F"/>
    <w:rsid w:val="1FCFB44B"/>
    <w:rsid w:val="1FD31441"/>
    <w:rsid w:val="1FEF3001"/>
    <w:rsid w:val="1FF43405"/>
    <w:rsid w:val="1FFB2FA4"/>
    <w:rsid w:val="1FFFCAB0"/>
    <w:rsid w:val="207C996A"/>
    <w:rsid w:val="2137E471"/>
    <w:rsid w:val="21B1B628"/>
    <w:rsid w:val="21BF65BC"/>
    <w:rsid w:val="21FF2C96"/>
    <w:rsid w:val="220E736E"/>
    <w:rsid w:val="23420DEC"/>
    <w:rsid w:val="23FE7AC8"/>
    <w:rsid w:val="247A9147"/>
    <w:rsid w:val="2536529E"/>
    <w:rsid w:val="25833998"/>
    <w:rsid w:val="25A97F22"/>
    <w:rsid w:val="25BE4F18"/>
    <w:rsid w:val="26150DA4"/>
    <w:rsid w:val="2767C6E7"/>
    <w:rsid w:val="27C98FAA"/>
    <w:rsid w:val="27CDDD06"/>
    <w:rsid w:val="27D9CD06"/>
    <w:rsid w:val="280776A2"/>
    <w:rsid w:val="283471D2"/>
    <w:rsid w:val="289F84E5"/>
    <w:rsid w:val="28EA16F9"/>
    <w:rsid w:val="28F543AE"/>
    <w:rsid w:val="297FD732"/>
    <w:rsid w:val="29EF9086"/>
    <w:rsid w:val="2AFF6917"/>
    <w:rsid w:val="2B108ACB"/>
    <w:rsid w:val="2B674404"/>
    <w:rsid w:val="2B9393BD"/>
    <w:rsid w:val="2BA9407C"/>
    <w:rsid w:val="2BDF6639"/>
    <w:rsid w:val="2BFBEB91"/>
    <w:rsid w:val="2BFE30FD"/>
    <w:rsid w:val="2BFFDD52"/>
    <w:rsid w:val="2CEB2939"/>
    <w:rsid w:val="2D3D711C"/>
    <w:rsid w:val="2D5EAA75"/>
    <w:rsid w:val="2DEA4B8C"/>
    <w:rsid w:val="2DF91D1E"/>
    <w:rsid w:val="2DFED86F"/>
    <w:rsid w:val="2DFEE3E0"/>
    <w:rsid w:val="2DFF2940"/>
    <w:rsid w:val="2DFF4D09"/>
    <w:rsid w:val="2E7F3346"/>
    <w:rsid w:val="2ED76515"/>
    <w:rsid w:val="2EDF8003"/>
    <w:rsid w:val="2EFFE395"/>
    <w:rsid w:val="2F5EEF83"/>
    <w:rsid w:val="2F62F3BF"/>
    <w:rsid w:val="2F7FB0D0"/>
    <w:rsid w:val="2F7FDD34"/>
    <w:rsid w:val="2F8DE38C"/>
    <w:rsid w:val="2FB5E646"/>
    <w:rsid w:val="2FBD4B65"/>
    <w:rsid w:val="2FBF626D"/>
    <w:rsid w:val="2FFB1837"/>
    <w:rsid w:val="2FFF848C"/>
    <w:rsid w:val="307F2F66"/>
    <w:rsid w:val="333FD77E"/>
    <w:rsid w:val="33A749B4"/>
    <w:rsid w:val="33AEF35B"/>
    <w:rsid w:val="33D840FB"/>
    <w:rsid w:val="33DFBAA3"/>
    <w:rsid w:val="34BA96BB"/>
    <w:rsid w:val="3578C8AF"/>
    <w:rsid w:val="357FB598"/>
    <w:rsid w:val="3597557A"/>
    <w:rsid w:val="35A766EE"/>
    <w:rsid w:val="367F66D0"/>
    <w:rsid w:val="36BD569A"/>
    <w:rsid w:val="36D788FC"/>
    <w:rsid w:val="36F7CB60"/>
    <w:rsid w:val="374846E6"/>
    <w:rsid w:val="3767A2E1"/>
    <w:rsid w:val="376D8200"/>
    <w:rsid w:val="376D8C71"/>
    <w:rsid w:val="37701C0B"/>
    <w:rsid w:val="377B9744"/>
    <w:rsid w:val="377C474C"/>
    <w:rsid w:val="37AEF5B8"/>
    <w:rsid w:val="37DBEADC"/>
    <w:rsid w:val="37DD0153"/>
    <w:rsid w:val="37DEDB67"/>
    <w:rsid w:val="37DFF585"/>
    <w:rsid w:val="37E3481A"/>
    <w:rsid w:val="37E3EBB0"/>
    <w:rsid w:val="37E7ABCD"/>
    <w:rsid w:val="37EFEF69"/>
    <w:rsid w:val="37F845CA"/>
    <w:rsid w:val="37FD47D7"/>
    <w:rsid w:val="37FFC4FA"/>
    <w:rsid w:val="382D5401"/>
    <w:rsid w:val="385FC2EB"/>
    <w:rsid w:val="38E30B05"/>
    <w:rsid w:val="38F78056"/>
    <w:rsid w:val="3968368D"/>
    <w:rsid w:val="397D0039"/>
    <w:rsid w:val="39DF9B6C"/>
    <w:rsid w:val="39FB655B"/>
    <w:rsid w:val="39FFD655"/>
    <w:rsid w:val="3A0B4AF4"/>
    <w:rsid w:val="3A561988"/>
    <w:rsid w:val="3A847A19"/>
    <w:rsid w:val="3AAD0BD5"/>
    <w:rsid w:val="3ABED55B"/>
    <w:rsid w:val="3ABF932D"/>
    <w:rsid w:val="3AFCCC8F"/>
    <w:rsid w:val="3AFF0233"/>
    <w:rsid w:val="3B33806D"/>
    <w:rsid w:val="3B4F5D7E"/>
    <w:rsid w:val="3B5748BD"/>
    <w:rsid w:val="3B6D6F1B"/>
    <w:rsid w:val="3B7E98C7"/>
    <w:rsid w:val="3B7F6525"/>
    <w:rsid w:val="3BBF5553"/>
    <w:rsid w:val="3BBFDD6F"/>
    <w:rsid w:val="3BDB08A9"/>
    <w:rsid w:val="3BDCDF40"/>
    <w:rsid w:val="3BE4B945"/>
    <w:rsid w:val="3BEE8568"/>
    <w:rsid w:val="3BF2BEF7"/>
    <w:rsid w:val="3BFC1FDC"/>
    <w:rsid w:val="3C39193B"/>
    <w:rsid w:val="3C539AA6"/>
    <w:rsid w:val="3C9796C2"/>
    <w:rsid w:val="3CD2013A"/>
    <w:rsid w:val="3CDB8D78"/>
    <w:rsid w:val="3CFD4504"/>
    <w:rsid w:val="3CFF05A1"/>
    <w:rsid w:val="3D597D51"/>
    <w:rsid w:val="3D5D7840"/>
    <w:rsid w:val="3D632A8A"/>
    <w:rsid w:val="3D978667"/>
    <w:rsid w:val="3D984C94"/>
    <w:rsid w:val="3DB00C79"/>
    <w:rsid w:val="3DBACE9F"/>
    <w:rsid w:val="3DBF510F"/>
    <w:rsid w:val="3DC5F414"/>
    <w:rsid w:val="3DCCC8C6"/>
    <w:rsid w:val="3DD7C233"/>
    <w:rsid w:val="3DD7C272"/>
    <w:rsid w:val="3DD9E156"/>
    <w:rsid w:val="3DE76293"/>
    <w:rsid w:val="3DF55696"/>
    <w:rsid w:val="3DF9D206"/>
    <w:rsid w:val="3DFB7A11"/>
    <w:rsid w:val="3DFE806E"/>
    <w:rsid w:val="3E1FBC67"/>
    <w:rsid w:val="3E2F986A"/>
    <w:rsid w:val="3E894E20"/>
    <w:rsid w:val="3E934E39"/>
    <w:rsid w:val="3EDE17E6"/>
    <w:rsid w:val="3EDF56C1"/>
    <w:rsid w:val="3EEA354A"/>
    <w:rsid w:val="3EEF652D"/>
    <w:rsid w:val="3EF7960E"/>
    <w:rsid w:val="3EF91315"/>
    <w:rsid w:val="3EFAE533"/>
    <w:rsid w:val="3EFDD5B2"/>
    <w:rsid w:val="3EFE033F"/>
    <w:rsid w:val="3EFE3E07"/>
    <w:rsid w:val="3EFF9330"/>
    <w:rsid w:val="3F1FFFD9"/>
    <w:rsid w:val="3F458B64"/>
    <w:rsid w:val="3F77BFC7"/>
    <w:rsid w:val="3F7D3462"/>
    <w:rsid w:val="3F7D86C0"/>
    <w:rsid w:val="3F7E90BF"/>
    <w:rsid w:val="3F98FA67"/>
    <w:rsid w:val="3F9BE5CD"/>
    <w:rsid w:val="3F9BFE6E"/>
    <w:rsid w:val="3FA6C064"/>
    <w:rsid w:val="3FAC2967"/>
    <w:rsid w:val="3FAF0CCF"/>
    <w:rsid w:val="3FAF42CF"/>
    <w:rsid w:val="3FB7902A"/>
    <w:rsid w:val="3FBAADD9"/>
    <w:rsid w:val="3FBF51DA"/>
    <w:rsid w:val="3FBFB972"/>
    <w:rsid w:val="3FCDCF89"/>
    <w:rsid w:val="3FD77333"/>
    <w:rsid w:val="3FDB6BA2"/>
    <w:rsid w:val="3FDF380B"/>
    <w:rsid w:val="3FE9491B"/>
    <w:rsid w:val="3FEE5E21"/>
    <w:rsid w:val="3FEED6F8"/>
    <w:rsid w:val="3FEF4A1E"/>
    <w:rsid w:val="3FEF9A3F"/>
    <w:rsid w:val="3FEFE7BE"/>
    <w:rsid w:val="3FF10F17"/>
    <w:rsid w:val="3FF796E3"/>
    <w:rsid w:val="3FFB32CA"/>
    <w:rsid w:val="3FFC2A89"/>
    <w:rsid w:val="3FFC9A81"/>
    <w:rsid w:val="3FFCC64F"/>
    <w:rsid w:val="3FFD4E48"/>
    <w:rsid w:val="3FFDCD4A"/>
    <w:rsid w:val="3FFF1EE6"/>
    <w:rsid w:val="3FFF20E9"/>
    <w:rsid w:val="3FFF5DE1"/>
    <w:rsid w:val="3FFF986E"/>
    <w:rsid w:val="3FFFDD23"/>
    <w:rsid w:val="409965D9"/>
    <w:rsid w:val="41BFB041"/>
    <w:rsid w:val="41EA21C1"/>
    <w:rsid w:val="42EB26BD"/>
    <w:rsid w:val="430D296A"/>
    <w:rsid w:val="434937D5"/>
    <w:rsid w:val="43F65C10"/>
    <w:rsid w:val="43FB130C"/>
    <w:rsid w:val="444A66E7"/>
    <w:rsid w:val="448D14BE"/>
    <w:rsid w:val="44B6296D"/>
    <w:rsid w:val="457E8FFF"/>
    <w:rsid w:val="45DBFF4A"/>
    <w:rsid w:val="46054DFB"/>
    <w:rsid w:val="46797C10"/>
    <w:rsid w:val="4713FB51"/>
    <w:rsid w:val="475C9B02"/>
    <w:rsid w:val="477E5107"/>
    <w:rsid w:val="485B0E7B"/>
    <w:rsid w:val="4890786F"/>
    <w:rsid w:val="48F3115A"/>
    <w:rsid w:val="49A735B5"/>
    <w:rsid w:val="49DD1BED"/>
    <w:rsid w:val="49FF7642"/>
    <w:rsid w:val="49FF7A06"/>
    <w:rsid w:val="4AFF3B03"/>
    <w:rsid w:val="4BB7ABF0"/>
    <w:rsid w:val="4BE271E4"/>
    <w:rsid w:val="4BEF11E5"/>
    <w:rsid w:val="4BEFD907"/>
    <w:rsid w:val="4C9776FA"/>
    <w:rsid w:val="4CFC9836"/>
    <w:rsid w:val="4D2F2768"/>
    <w:rsid w:val="4D77837C"/>
    <w:rsid w:val="4DB12E6B"/>
    <w:rsid w:val="4E357A98"/>
    <w:rsid w:val="4EBFC92A"/>
    <w:rsid w:val="4F7F9C0D"/>
    <w:rsid w:val="4F8F7991"/>
    <w:rsid w:val="4FBD40E3"/>
    <w:rsid w:val="4FBF08BA"/>
    <w:rsid w:val="4FBF4208"/>
    <w:rsid w:val="4FCB90EF"/>
    <w:rsid w:val="4FCF945A"/>
    <w:rsid w:val="4FDDB920"/>
    <w:rsid w:val="4FFD1F12"/>
    <w:rsid w:val="4FFF05B3"/>
    <w:rsid w:val="4FFF76B5"/>
    <w:rsid w:val="50A54F03"/>
    <w:rsid w:val="50FF3A61"/>
    <w:rsid w:val="51121B8D"/>
    <w:rsid w:val="52FE885F"/>
    <w:rsid w:val="531D3806"/>
    <w:rsid w:val="5396D188"/>
    <w:rsid w:val="54BF14AE"/>
    <w:rsid w:val="54FD157F"/>
    <w:rsid w:val="5597FC01"/>
    <w:rsid w:val="56BFE0D3"/>
    <w:rsid w:val="56E63C48"/>
    <w:rsid w:val="56EFEB4E"/>
    <w:rsid w:val="56FF74DB"/>
    <w:rsid w:val="57884094"/>
    <w:rsid w:val="57BF541F"/>
    <w:rsid w:val="57F425DF"/>
    <w:rsid w:val="57F83034"/>
    <w:rsid w:val="57FEC546"/>
    <w:rsid w:val="57FECD13"/>
    <w:rsid w:val="57FEE493"/>
    <w:rsid w:val="57FF7D3F"/>
    <w:rsid w:val="58FFE0C3"/>
    <w:rsid w:val="5943CC59"/>
    <w:rsid w:val="596F635A"/>
    <w:rsid w:val="599347D4"/>
    <w:rsid w:val="59DF8E58"/>
    <w:rsid w:val="59FEAA12"/>
    <w:rsid w:val="59FFB2BA"/>
    <w:rsid w:val="5A315A59"/>
    <w:rsid w:val="5A7B2317"/>
    <w:rsid w:val="5ABF947C"/>
    <w:rsid w:val="5ACFB1CD"/>
    <w:rsid w:val="5AFFB3F2"/>
    <w:rsid w:val="5AFFDFF8"/>
    <w:rsid w:val="5B5F7040"/>
    <w:rsid w:val="5B9F2932"/>
    <w:rsid w:val="5BDEBD16"/>
    <w:rsid w:val="5BE373AF"/>
    <w:rsid w:val="5BEC46A7"/>
    <w:rsid w:val="5BEDAC51"/>
    <w:rsid w:val="5BEEBBAC"/>
    <w:rsid w:val="5BF5F962"/>
    <w:rsid w:val="5BF76266"/>
    <w:rsid w:val="5BF78D4D"/>
    <w:rsid w:val="5BFF54A7"/>
    <w:rsid w:val="5C7D95A9"/>
    <w:rsid w:val="5CCEC33B"/>
    <w:rsid w:val="5D37D625"/>
    <w:rsid w:val="5D3FCB5A"/>
    <w:rsid w:val="5D6FAFE0"/>
    <w:rsid w:val="5DDE8BC0"/>
    <w:rsid w:val="5DDFFC84"/>
    <w:rsid w:val="5DEE1EE2"/>
    <w:rsid w:val="5DEF1C11"/>
    <w:rsid w:val="5DFAB6C0"/>
    <w:rsid w:val="5DFF0B14"/>
    <w:rsid w:val="5DFF941D"/>
    <w:rsid w:val="5E1707A7"/>
    <w:rsid w:val="5E4D03F0"/>
    <w:rsid w:val="5E5E2634"/>
    <w:rsid w:val="5E5FF49E"/>
    <w:rsid w:val="5E6F58AB"/>
    <w:rsid w:val="5E6F59C2"/>
    <w:rsid w:val="5E7F57B7"/>
    <w:rsid w:val="5E7F60BF"/>
    <w:rsid w:val="5E9FA032"/>
    <w:rsid w:val="5EB302F3"/>
    <w:rsid w:val="5EBDEBA0"/>
    <w:rsid w:val="5ECD8428"/>
    <w:rsid w:val="5EDD6A8A"/>
    <w:rsid w:val="5EE39B94"/>
    <w:rsid w:val="5EEB4787"/>
    <w:rsid w:val="5EEE4921"/>
    <w:rsid w:val="5EFA0709"/>
    <w:rsid w:val="5EFE74B3"/>
    <w:rsid w:val="5F16CADA"/>
    <w:rsid w:val="5F3F692D"/>
    <w:rsid w:val="5F57E89B"/>
    <w:rsid w:val="5F6C92A7"/>
    <w:rsid w:val="5F6DA5AA"/>
    <w:rsid w:val="5F6E1DC7"/>
    <w:rsid w:val="5F6EAC48"/>
    <w:rsid w:val="5F773F23"/>
    <w:rsid w:val="5F7BD1B9"/>
    <w:rsid w:val="5F7F38F2"/>
    <w:rsid w:val="5F7F5174"/>
    <w:rsid w:val="5F7FB1C8"/>
    <w:rsid w:val="5F7FC2E7"/>
    <w:rsid w:val="5F7FEFDF"/>
    <w:rsid w:val="5F9B5AEA"/>
    <w:rsid w:val="5FACC553"/>
    <w:rsid w:val="5FADF34C"/>
    <w:rsid w:val="5FB6C5DB"/>
    <w:rsid w:val="5FBB1253"/>
    <w:rsid w:val="5FD24F5E"/>
    <w:rsid w:val="5FDA0954"/>
    <w:rsid w:val="5FDB9D85"/>
    <w:rsid w:val="5FDF1279"/>
    <w:rsid w:val="5FDF980A"/>
    <w:rsid w:val="5FE7015F"/>
    <w:rsid w:val="5FE7C020"/>
    <w:rsid w:val="5FEDA7E9"/>
    <w:rsid w:val="5FEDE153"/>
    <w:rsid w:val="5FEF64A5"/>
    <w:rsid w:val="5FEFFAC1"/>
    <w:rsid w:val="5FF3098A"/>
    <w:rsid w:val="5FF4471E"/>
    <w:rsid w:val="5FF69DDD"/>
    <w:rsid w:val="5FF7813E"/>
    <w:rsid w:val="5FF7B417"/>
    <w:rsid w:val="5FF9D41C"/>
    <w:rsid w:val="5FFA8B03"/>
    <w:rsid w:val="5FFB8E8E"/>
    <w:rsid w:val="5FFF23EF"/>
    <w:rsid w:val="5FFFB15F"/>
    <w:rsid w:val="60605BDE"/>
    <w:rsid w:val="60F05534"/>
    <w:rsid w:val="617AB883"/>
    <w:rsid w:val="61F3ADAF"/>
    <w:rsid w:val="621DBB4C"/>
    <w:rsid w:val="62C1E625"/>
    <w:rsid w:val="63585935"/>
    <w:rsid w:val="65D43C31"/>
    <w:rsid w:val="65FACF48"/>
    <w:rsid w:val="663FCE40"/>
    <w:rsid w:val="66770D01"/>
    <w:rsid w:val="667B5C01"/>
    <w:rsid w:val="66EE54A6"/>
    <w:rsid w:val="66F6D498"/>
    <w:rsid w:val="67614814"/>
    <w:rsid w:val="67629631"/>
    <w:rsid w:val="67677168"/>
    <w:rsid w:val="676CFD9C"/>
    <w:rsid w:val="677778F4"/>
    <w:rsid w:val="679E0A22"/>
    <w:rsid w:val="67AF89CB"/>
    <w:rsid w:val="67DB8A25"/>
    <w:rsid w:val="67DFE020"/>
    <w:rsid w:val="67F07263"/>
    <w:rsid w:val="67F7B79D"/>
    <w:rsid w:val="67FD4951"/>
    <w:rsid w:val="67FD7F30"/>
    <w:rsid w:val="67FEC313"/>
    <w:rsid w:val="67FF95E1"/>
    <w:rsid w:val="67FFFE48"/>
    <w:rsid w:val="689C2BA5"/>
    <w:rsid w:val="68FF6E02"/>
    <w:rsid w:val="69476490"/>
    <w:rsid w:val="6A3550C7"/>
    <w:rsid w:val="6A56EC92"/>
    <w:rsid w:val="6A5D0BA7"/>
    <w:rsid w:val="6A6EDEF1"/>
    <w:rsid w:val="6A7F073C"/>
    <w:rsid w:val="6AB448D3"/>
    <w:rsid w:val="6AFA1386"/>
    <w:rsid w:val="6AFFB41C"/>
    <w:rsid w:val="6BB7C593"/>
    <w:rsid w:val="6BBFE6F8"/>
    <w:rsid w:val="6BC688D6"/>
    <w:rsid w:val="6BCD5975"/>
    <w:rsid w:val="6BDB7ACE"/>
    <w:rsid w:val="6BDD6FBE"/>
    <w:rsid w:val="6BF716BE"/>
    <w:rsid w:val="6BFB7801"/>
    <w:rsid w:val="6BFB832F"/>
    <w:rsid w:val="6C9F0654"/>
    <w:rsid w:val="6CCE8B05"/>
    <w:rsid w:val="6CFE5EA4"/>
    <w:rsid w:val="6CFFBC84"/>
    <w:rsid w:val="6D4B08AD"/>
    <w:rsid w:val="6D4F5F4F"/>
    <w:rsid w:val="6D6D3C63"/>
    <w:rsid w:val="6D7BF44F"/>
    <w:rsid w:val="6DBFB3A7"/>
    <w:rsid w:val="6DC70503"/>
    <w:rsid w:val="6DEE1591"/>
    <w:rsid w:val="6DEF3456"/>
    <w:rsid w:val="6DFF454D"/>
    <w:rsid w:val="6DFFC0CC"/>
    <w:rsid w:val="6DFFFD32"/>
    <w:rsid w:val="6E32F419"/>
    <w:rsid w:val="6E7E103D"/>
    <w:rsid w:val="6E7F83A2"/>
    <w:rsid w:val="6E9BCD5A"/>
    <w:rsid w:val="6EBAC43E"/>
    <w:rsid w:val="6EE43620"/>
    <w:rsid w:val="6EEF332F"/>
    <w:rsid w:val="6EF5BE98"/>
    <w:rsid w:val="6EF99A2D"/>
    <w:rsid w:val="6EFB4953"/>
    <w:rsid w:val="6EFC8AD0"/>
    <w:rsid w:val="6EFD52F7"/>
    <w:rsid w:val="6EFDE49A"/>
    <w:rsid w:val="6EFE6385"/>
    <w:rsid w:val="6EFEE4F1"/>
    <w:rsid w:val="6F37249F"/>
    <w:rsid w:val="6F3AB460"/>
    <w:rsid w:val="6F5F03EE"/>
    <w:rsid w:val="6F777177"/>
    <w:rsid w:val="6F7DC450"/>
    <w:rsid w:val="6F7F86FE"/>
    <w:rsid w:val="6FB5AD3B"/>
    <w:rsid w:val="6FBA6136"/>
    <w:rsid w:val="6FBB37FA"/>
    <w:rsid w:val="6FBC68D5"/>
    <w:rsid w:val="6FBC9274"/>
    <w:rsid w:val="6FBE2057"/>
    <w:rsid w:val="6FBF7663"/>
    <w:rsid w:val="6FBF9BE2"/>
    <w:rsid w:val="6FCE0815"/>
    <w:rsid w:val="6FD35AD8"/>
    <w:rsid w:val="6FDF9D5C"/>
    <w:rsid w:val="6FEE58B9"/>
    <w:rsid w:val="6FF3B392"/>
    <w:rsid w:val="6FF4E4E5"/>
    <w:rsid w:val="6FF618E1"/>
    <w:rsid w:val="6FF6D1A3"/>
    <w:rsid w:val="6FF75C0E"/>
    <w:rsid w:val="6FF77107"/>
    <w:rsid w:val="6FF7B1E6"/>
    <w:rsid w:val="6FF80F80"/>
    <w:rsid w:val="6FF8A44F"/>
    <w:rsid w:val="6FFC67E3"/>
    <w:rsid w:val="6FFDC149"/>
    <w:rsid w:val="6FFE219F"/>
    <w:rsid w:val="6FFEDC9C"/>
    <w:rsid w:val="6FFEE758"/>
    <w:rsid w:val="6FFF1DDA"/>
    <w:rsid w:val="70EFB073"/>
    <w:rsid w:val="71ABB373"/>
    <w:rsid w:val="71DA07F5"/>
    <w:rsid w:val="71EF4074"/>
    <w:rsid w:val="720D7E09"/>
    <w:rsid w:val="7272CFD0"/>
    <w:rsid w:val="72AD5562"/>
    <w:rsid w:val="72DC12EB"/>
    <w:rsid w:val="73664FC9"/>
    <w:rsid w:val="73795F78"/>
    <w:rsid w:val="73CC907C"/>
    <w:rsid w:val="73CF486A"/>
    <w:rsid w:val="73CFB6D1"/>
    <w:rsid w:val="73DF74D5"/>
    <w:rsid w:val="73EF4AAB"/>
    <w:rsid w:val="73F959B5"/>
    <w:rsid w:val="73FF1641"/>
    <w:rsid w:val="73FF6EA4"/>
    <w:rsid w:val="73FF9ED7"/>
    <w:rsid w:val="74157AA4"/>
    <w:rsid w:val="7469E6B0"/>
    <w:rsid w:val="74DF2675"/>
    <w:rsid w:val="74FF4864"/>
    <w:rsid w:val="7510E195"/>
    <w:rsid w:val="756C7827"/>
    <w:rsid w:val="756F2350"/>
    <w:rsid w:val="75753461"/>
    <w:rsid w:val="757B7516"/>
    <w:rsid w:val="757E601D"/>
    <w:rsid w:val="758AF463"/>
    <w:rsid w:val="75AD1FB5"/>
    <w:rsid w:val="75BD1B60"/>
    <w:rsid w:val="75BF9581"/>
    <w:rsid w:val="75DF5E5F"/>
    <w:rsid w:val="75DF65A2"/>
    <w:rsid w:val="75EF98AE"/>
    <w:rsid w:val="75EFB2AE"/>
    <w:rsid w:val="75FF700C"/>
    <w:rsid w:val="767D44CF"/>
    <w:rsid w:val="76ADCE91"/>
    <w:rsid w:val="76BFC027"/>
    <w:rsid w:val="76C7F183"/>
    <w:rsid w:val="76DC0D7A"/>
    <w:rsid w:val="76E9C262"/>
    <w:rsid w:val="76F3C0B0"/>
    <w:rsid w:val="76FB3C44"/>
    <w:rsid w:val="76FFEA06"/>
    <w:rsid w:val="77377B80"/>
    <w:rsid w:val="773B75D1"/>
    <w:rsid w:val="773FD9C1"/>
    <w:rsid w:val="776932D2"/>
    <w:rsid w:val="777B05F8"/>
    <w:rsid w:val="777F27E4"/>
    <w:rsid w:val="777F58BB"/>
    <w:rsid w:val="779D6EC2"/>
    <w:rsid w:val="77A21DAA"/>
    <w:rsid w:val="77AB974C"/>
    <w:rsid w:val="77AF729A"/>
    <w:rsid w:val="77B792D6"/>
    <w:rsid w:val="77BD974F"/>
    <w:rsid w:val="77BE503C"/>
    <w:rsid w:val="77CF8ED7"/>
    <w:rsid w:val="77D7B44B"/>
    <w:rsid w:val="77E3EBD7"/>
    <w:rsid w:val="77E9E3E0"/>
    <w:rsid w:val="77EE747B"/>
    <w:rsid w:val="77EF7C8A"/>
    <w:rsid w:val="77EFADF9"/>
    <w:rsid w:val="77F10868"/>
    <w:rsid w:val="77F3DCDF"/>
    <w:rsid w:val="77F56EBF"/>
    <w:rsid w:val="77F594EB"/>
    <w:rsid w:val="77F7EC37"/>
    <w:rsid w:val="77FA5D10"/>
    <w:rsid w:val="77FB321E"/>
    <w:rsid w:val="77FBB1B2"/>
    <w:rsid w:val="77FD5039"/>
    <w:rsid w:val="77FF081F"/>
    <w:rsid w:val="77FF62CC"/>
    <w:rsid w:val="77FF6DF9"/>
    <w:rsid w:val="77FFD20D"/>
    <w:rsid w:val="77FFEC36"/>
    <w:rsid w:val="78931DC3"/>
    <w:rsid w:val="793FACE1"/>
    <w:rsid w:val="797EE5F3"/>
    <w:rsid w:val="797FDC7A"/>
    <w:rsid w:val="798EFC5D"/>
    <w:rsid w:val="799BECDF"/>
    <w:rsid w:val="799DBD8A"/>
    <w:rsid w:val="79D7E9D9"/>
    <w:rsid w:val="79D9AC17"/>
    <w:rsid w:val="79FD4CD3"/>
    <w:rsid w:val="79FF6F2E"/>
    <w:rsid w:val="79FFA2B3"/>
    <w:rsid w:val="79FFA3A4"/>
    <w:rsid w:val="79FFCF36"/>
    <w:rsid w:val="79FFE302"/>
    <w:rsid w:val="7AB79E41"/>
    <w:rsid w:val="7AD60CA1"/>
    <w:rsid w:val="7AFD6259"/>
    <w:rsid w:val="7AFE16D6"/>
    <w:rsid w:val="7AFF00F9"/>
    <w:rsid w:val="7AFF8F92"/>
    <w:rsid w:val="7B3F9D1C"/>
    <w:rsid w:val="7B3FD262"/>
    <w:rsid w:val="7B454CB4"/>
    <w:rsid w:val="7B758164"/>
    <w:rsid w:val="7B7B89DA"/>
    <w:rsid w:val="7B7C4C82"/>
    <w:rsid w:val="7B7F9B44"/>
    <w:rsid w:val="7B9E5751"/>
    <w:rsid w:val="7BA3B6DE"/>
    <w:rsid w:val="7BAE9751"/>
    <w:rsid w:val="7BBF0CA9"/>
    <w:rsid w:val="7BBFA5D6"/>
    <w:rsid w:val="7BBFD7D6"/>
    <w:rsid w:val="7BCFE961"/>
    <w:rsid w:val="7BD49E9F"/>
    <w:rsid w:val="7BDB6A79"/>
    <w:rsid w:val="7BDF010B"/>
    <w:rsid w:val="7BDF2289"/>
    <w:rsid w:val="7BDF34C4"/>
    <w:rsid w:val="7BDFD096"/>
    <w:rsid w:val="7BE7D8C1"/>
    <w:rsid w:val="7BE9384A"/>
    <w:rsid w:val="7BF6F7E2"/>
    <w:rsid w:val="7BFB7279"/>
    <w:rsid w:val="7BFF7045"/>
    <w:rsid w:val="7BFFFAEF"/>
    <w:rsid w:val="7C2102A1"/>
    <w:rsid w:val="7C3BE8E5"/>
    <w:rsid w:val="7C7B896C"/>
    <w:rsid w:val="7C913AEF"/>
    <w:rsid w:val="7CA7AF05"/>
    <w:rsid w:val="7CEFC204"/>
    <w:rsid w:val="7CF50807"/>
    <w:rsid w:val="7CFDCCBA"/>
    <w:rsid w:val="7CFE9B85"/>
    <w:rsid w:val="7CFF91E1"/>
    <w:rsid w:val="7D3FEA68"/>
    <w:rsid w:val="7D6BCD70"/>
    <w:rsid w:val="7D732B3C"/>
    <w:rsid w:val="7D7DB67B"/>
    <w:rsid w:val="7D86C721"/>
    <w:rsid w:val="7D884CBB"/>
    <w:rsid w:val="7D9D8322"/>
    <w:rsid w:val="7D9FE7FF"/>
    <w:rsid w:val="7DAD5688"/>
    <w:rsid w:val="7DAD7B9B"/>
    <w:rsid w:val="7DB887C5"/>
    <w:rsid w:val="7DBF2E6B"/>
    <w:rsid w:val="7DBF6471"/>
    <w:rsid w:val="7DBF7E5C"/>
    <w:rsid w:val="7DBFF652"/>
    <w:rsid w:val="7DC485ED"/>
    <w:rsid w:val="7DCB33B0"/>
    <w:rsid w:val="7DD38334"/>
    <w:rsid w:val="7DD76373"/>
    <w:rsid w:val="7DDB1ED1"/>
    <w:rsid w:val="7DE717F2"/>
    <w:rsid w:val="7DEAAA98"/>
    <w:rsid w:val="7DEB1CA7"/>
    <w:rsid w:val="7DEE5F6B"/>
    <w:rsid w:val="7DEF3D75"/>
    <w:rsid w:val="7DEF7588"/>
    <w:rsid w:val="7DEFDAE0"/>
    <w:rsid w:val="7DF3067A"/>
    <w:rsid w:val="7DF3938F"/>
    <w:rsid w:val="7DF677D5"/>
    <w:rsid w:val="7DF67CA5"/>
    <w:rsid w:val="7DF726D8"/>
    <w:rsid w:val="7DF7DC43"/>
    <w:rsid w:val="7DF872A1"/>
    <w:rsid w:val="7DF910D1"/>
    <w:rsid w:val="7DFD98CF"/>
    <w:rsid w:val="7DFE4E8D"/>
    <w:rsid w:val="7DFEA0FA"/>
    <w:rsid w:val="7DFF8289"/>
    <w:rsid w:val="7DFF97F9"/>
    <w:rsid w:val="7E1ECB14"/>
    <w:rsid w:val="7E3391A6"/>
    <w:rsid w:val="7E5FC241"/>
    <w:rsid w:val="7E7A8537"/>
    <w:rsid w:val="7E7BB9FF"/>
    <w:rsid w:val="7E7E96CB"/>
    <w:rsid w:val="7E7F45EB"/>
    <w:rsid w:val="7E7FE2B7"/>
    <w:rsid w:val="7E8F5B0E"/>
    <w:rsid w:val="7EB1C43E"/>
    <w:rsid w:val="7EB7369F"/>
    <w:rsid w:val="7EBD5B7F"/>
    <w:rsid w:val="7EBF29D3"/>
    <w:rsid w:val="7ECB703C"/>
    <w:rsid w:val="7EED5392"/>
    <w:rsid w:val="7EEDFE64"/>
    <w:rsid w:val="7EEE1D83"/>
    <w:rsid w:val="7EEF5221"/>
    <w:rsid w:val="7EF4DA42"/>
    <w:rsid w:val="7EF57C5B"/>
    <w:rsid w:val="7EF60D1E"/>
    <w:rsid w:val="7EF66922"/>
    <w:rsid w:val="7EF7B0A5"/>
    <w:rsid w:val="7EF7F081"/>
    <w:rsid w:val="7EFBA243"/>
    <w:rsid w:val="7EFBD7E8"/>
    <w:rsid w:val="7EFCA9CA"/>
    <w:rsid w:val="7EFE38C4"/>
    <w:rsid w:val="7EFE7853"/>
    <w:rsid w:val="7EFF058B"/>
    <w:rsid w:val="7EFFF8B1"/>
    <w:rsid w:val="7F17BE3B"/>
    <w:rsid w:val="7F2F46A9"/>
    <w:rsid w:val="7F2F6C7F"/>
    <w:rsid w:val="7F33F185"/>
    <w:rsid w:val="7F3B17A1"/>
    <w:rsid w:val="7F3B3C98"/>
    <w:rsid w:val="7F3FD3C4"/>
    <w:rsid w:val="7F3FEC9E"/>
    <w:rsid w:val="7F3FF3EC"/>
    <w:rsid w:val="7F4F9BFE"/>
    <w:rsid w:val="7F529A89"/>
    <w:rsid w:val="7F576177"/>
    <w:rsid w:val="7F591A56"/>
    <w:rsid w:val="7F5BDE8E"/>
    <w:rsid w:val="7F5E73E4"/>
    <w:rsid w:val="7F5F329B"/>
    <w:rsid w:val="7F5F6100"/>
    <w:rsid w:val="7F5F8A79"/>
    <w:rsid w:val="7F5F99D0"/>
    <w:rsid w:val="7F5FF058"/>
    <w:rsid w:val="7F6BE4B8"/>
    <w:rsid w:val="7F6FAE46"/>
    <w:rsid w:val="7F6FE53B"/>
    <w:rsid w:val="7F77580B"/>
    <w:rsid w:val="7F779ED7"/>
    <w:rsid w:val="7F7A01C2"/>
    <w:rsid w:val="7F7A9BA7"/>
    <w:rsid w:val="7F7D9645"/>
    <w:rsid w:val="7F7E605F"/>
    <w:rsid w:val="7F7EB9EB"/>
    <w:rsid w:val="7F7F0440"/>
    <w:rsid w:val="7F7F5C57"/>
    <w:rsid w:val="7F7FFE82"/>
    <w:rsid w:val="7F9BEB82"/>
    <w:rsid w:val="7F9F5B7A"/>
    <w:rsid w:val="7F9F8E55"/>
    <w:rsid w:val="7FA9E617"/>
    <w:rsid w:val="7FADD9E2"/>
    <w:rsid w:val="7FAF130A"/>
    <w:rsid w:val="7FB397E8"/>
    <w:rsid w:val="7FB6550A"/>
    <w:rsid w:val="7FB73086"/>
    <w:rsid w:val="7FB740EA"/>
    <w:rsid w:val="7FBA3C8B"/>
    <w:rsid w:val="7FBB51F9"/>
    <w:rsid w:val="7FBBFA67"/>
    <w:rsid w:val="7FBC803C"/>
    <w:rsid w:val="7FBDAF2A"/>
    <w:rsid w:val="7FBE413F"/>
    <w:rsid w:val="7FBECEC7"/>
    <w:rsid w:val="7FBF0099"/>
    <w:rsid w:val="7FBF14B3"/>
    <w:rsid w:val="7FBF8458"/>
    <w:rsid w:val="7FBF9E4B"/>
    <w:rsid w:val="7FC70CA2"/>
    <w:rsid w:val="7FCB1E3F"/>
    <w:rsid w:val="7FCF32F7"/>
    <w:rsid w:val="7FCFC2F8"/>
    <w:rsid w:val="7FD6761A"/>
    <w:rsid w:val="7FD6E2D4"/>
    <w:rsid w:val="7FD6F00A"/>
    <w:rsid w:val="7FDF0239"/>
    <w:rsid w:val="7FDF3F7B"/>
    <w:rsid w:val="7FDFC329"/>
    <w:rsid w:val="7FE34CBD"/>
    <w:rsid w:val="7FE58EBD"/>
    <w:rsid w:val="7FE96130"/>
    <w:rsid w:val="7FEA5796"/>
    <w:rsid w:val="7FEDB637"/>
    <w:rsid w:val="7FEE5A61"/>
    <w:rsid w:val="7FEF2126"/>
    <w:rsid w:val="7FF199C0"/>
    <w:rsid w:val="7FF1BC61"/>
    <w:rsid w:val="7FF739D3"/>
    <w:rsid w:val="7FF7423D"/>
    <w:rsid w:val="7FF7C563"/>
    <w:rsid w:val="7FF7D703"/>
    <w:rsid w:val="7FF7D92A"/>
    <w:rsid w:val="7FF7DD4D"/>
    <w:rsid w:val="7FF7E484"/>
    <w:rsid w:val="7FF7EC25"/>
    <w:rsid w:val="7FFA2522"/>
    <w:rsid w:val="7FFB3230"/>
    <w:rsid w:val="7FFB3366"/>
    <w:rsid w:val="7FFB492C"/>
    <w:rsid w:val="7FFC172B"/>
    <w:rsid w:val="7FFD31A7"/>
    <w:rsid w:val="7FFD371A"/>
    <w:rsid w:val="7FFD589E"/>
    <w:rsid w:val="7FFD6C39"/>
    <w:rsid w:val="7FFDF414"/>
    <w:rsid w:val="7FFE1A78"/>
    <w:rsid w:val="7FFE575A"/>
    <w:rsid w:val="7FFE7106"/>
    <w:rsid w:val="7FFEAE07"/>
    <w:rsid w:val="7FFEC339"/>
    <w:rsid w:val="7FFF1347"/>
    <w:rsid w:val="7FFF148E"/>
    <w:rsid w:val="7FFF1A7B"/>
    <w:rsid w:val="7FFF3C13"/>
    <w:rsid w:val="7FFF41CE"/>
    <w:rsid w:val="7FFF6E14"/>
    <w:rsid w:val="7FFF9C74"/>
    <w:rsid w:val="7FFFB2B7"/>
    <w:rsid w:val="7FFFB3B3"/>
    <w:rsid w:val="7FFFB530"/>
    <w:rsid w:val="7FFFBF53"/>
    <w:rsid w:val="7FFFCFBE"/>
    <w:rsid w:val="7FFFD099"/>
    <w:rsid w:val="7FFFD215"/>
    <w:rsid w:val="7FFFD565"/>
    <w:rsid w:val="7FFFFCAF"/>
    <w:rsid w:val="87965AC7"/>
    <w:rsid w:val="87C70AE1"/>
    <w:rsid w:val="87F842E1"/>
    <w:rsid w:val="87FF0C77"/>
    <w:rsid w:val="897EF00C"/>
    <w:rsid w:val="8AF714B5"/>
    <w:rsid w:val="8CD9B4DC"/>
    <w:rsid w:val="8DDF4D31"/>
    <w:rsid w:val="8E7EBF74"/>
    <w:rsid w:val="8F11E5CB"/>
    <w:rsid w:val="926F41DF"/>
    <w:rsid w:val="936F312D"/>
    <w:rsid w:val="939F9048"/>
    <w:rsid w:val="93D79E06"/>
    <w:rsid w:val="967F6A63"/>
    <w:rsid w:val="96E944EC"/>
    <w:rsid w:val="9735EE70"/>
    <w:rsid w:val="9777985C"/>
    <w:rsid w:val="997ED030"/>
    <w:rsid w:val="9B75FB5D"/>
    <w:rsid w:val="9B9DCFDE"/>
    <w:rsid w:val="9BADACC2"/>
    <w:rsid w:val="9BC7D779"/>
    <w:rsid w:val="9BFE5192"/>
    <w:rsid w:val="9C3F0454"/>
    <w:rsid w:val="9D3FEAA0"/>
    <w:rsid w:val="9EDD0A18"/>
    <w:rsid w:val="9EE7C9EA"/>
    <w:rsid w:val="9EEDF2D9"/>
    <w:rsid w:val="9EFF44E4"/>
    <w:rsid w:val="9EFF8EC4"/>
    <w:rsid w:val="9EFFF19A"/>
    <w:rsid w:val="9F3FADF6"/>
    <w:rsid w:val="9F770782"/>
    <w:rsid w:val="9FBDEAF1"/>
    <w:rsid w:val="9FBF82BA"/>
    <w:rsid w:val="9FE9B683"/>
    <w:rsid w:val="9FF92682"/>
    <w:rsid w:val="9FFB8DA9"/>
    <w:rsid w:val="9FFE2BC7"/>
    <w:rsid w:val="9FFE73D7"/>
    <w:rsid w:val="9FFE9DEE"/>
    <w:rsid w:val="A1F81F73"/>
    <w:rsid w:val="A35B3610"/>
    <w:rsid w:val="A57B112D"/>
    <w:rsid w:val="A6E2FE23"/>
    <w:rsid w:val="A76F7381"/>
    <w:rsid w:val="A77E71C3"/>
    <w:rsid w:val="A7F1769A"/>
    <w:rsid w:val="A9379DC1"/>
    <w:rsid w:val="A95F9522"/>
    <w:rsid w:val="A9B5150E"/>
    <w:rsid w:val="A9FBEE47"/>
    <w:rsid w:val="AABBA249"/>
    <w:rsid w:val="ABBFFAC7"/>
    <w:rsid w:val="ABF9BACD"/>
    <w:rsid w:val="ABFE573B"/>
    <w:rsid w:val="AC5D13AA"/>
    <w:rsid w:val="AD555013"/>
    <w:rsid w:val="AD7CABBB"/>
    <w:rsid w:val="ADAAECBD"/>
    <w:rsid w:val="ADFE3D30"/>
    <w:rsid w:val="AE4D4E49"/>
    <w:rsid w:val="AE6D0DE5"/>
    <w:rsid w:val="AEEBD0CF"/>
    <w:rsid w:val="AF3AD085"/>
    <w:rsid w:val="AFA900FA"/>
    <w:rsid w:val="AFAF564E"/>
    <w:rsid w:val="AFBA873B"/>
    <w:rsid w:val="AFBFD761"/>
    <w:rsid w:val="AFD7948E"/>
    <w:rsid w:val="AFDD2B28"/>
    <w:rsid w:val="AFEE7A18"/>
    <w:rsid w:val="AFF51D40"/>
    <w:rsid w:val="AFF5E228"/>
    <w:rsid w:val="AFF73C1D"/>
    <w:rsid w:val="AFF91801"/>
    <w:rsid w:val="AFFEFB18"/>
    <w:rsid w:val="B1BB0F7C"/>
    <w:rsid w:val="B1FF8B90"/>
    <w:rsid w:val="B2EFF7F2"/>
    <w:rsid w:val="B2FF1076"/>
    <w:rsid w:val="B377EF62"/>
    <w:rsid w:val="B39DDDAD"/>
    <w:rsid w:val="B3BB74F5"/>
    <w:rsid w:val="B3F71CDF"/>
    <w:rsid w:val="B4ED9755"/>
    <w:rsid w:val="B5E82066"/>
    <w:rsid w:val="B5FF76FE"/>
    <w:rsid w:val="B6BFCF1E"/>
    <w:rsid w:val="B6FE64C0"/>
    <w:rsid w:val="B6FFA38D"/>
    <w:rsid w:val="B73EC9F0"/>
    <w:rsid w:val="B7770B78"/>
    <w:rsid w:val="B77F0EC5"/>
    <w:rsid w:val="B7B3FDA3"/>
    <w:rsid w:val="B7BF90AD"/>
    <w:rsid w:val="B7BF9550"/>
    <w:rsid w:val="B7DF421C"/>
    <w:rsid w:val="B7DF8BED"/>
    <w:rsid w:val="B7DFE42B"/>
    <w:rsid w:val="B7DFE915"/>
    <w:rsid w:val="B7F716D0"/>
    <w:rsid w:val="B7F74623"/>
    <w:rsid w:val="B7FE5DE9"/>
    <w:rsid w:val="B87110A4"/>
    <w:rsid w:val="B8E9DB2A"/>
    <w:rsid w:val="B8F43071"/>
    <w:rsid w:val="B93F9133"/>
    <w:rsid w:val="B9BB6BB7"/>
    <w:rsid w:val="B9E5D73F"/>
    <w:rsid w:val="BA1F9FCB"/>
    <w:rsid w:val="BA7689F2"/>
    <w:rsid w:val="BABBEE81"/>
    <w:rsid w:val="BAE71347"/>
    <w:rsid w:val="BAEFE5B6"/>
    <w:rsid w:val="BAFF39CC"/>
    <w:rsid w:val="BAFFA788"/>
    <w:rsid w:val="BAFFE9FA"/>
    <w:rsid w:val="BBBD5440"/>
    <w:rsid w:val="BBBF141C"/>
    <w:rsid w:val="BBBF7F21"/>
    <w:rsid w:val="BBDF07FD"/>
    <w:rsid w:val="BBE6D041"/>
    <w:rsid w:val="BBEE337F"/>
    <w:rsid w:val="BBEF49A5"/>
    <w:rsid w:val="BBFEBC09"/>
    <w:rsid w:val="BBFFD85F"/>
    <w:rsid w:val="BCEB4091"/>
    <w:rsid w:val="BCFE3E9D"/>
    <w:rsid w:val="BD07D921"/>
    <w:rsid w:val="BD27AE1B"/>
    <w:rsid w:val="BD6B87B3"/>
    <w:rsid w:val="BD7EFEFD"/>
    <w:rsid w:val="BDAFD23F"/>
    <w:rsid w:val="BDBFF6D2"/>
    <w:rsid w:val="BDED3BEC"/>
    <w:rsid w:val="BDF7A0AD"/>
    <w:rsid w:val="BDF7F9B2"/>
    <w:rsid w:val="BDF96267"/>
    <w:rsid w:val="BDFD0054"/>
    <w:rsid w:val="BDFFB853"/>
    <w:rsid w:val="BE5F0469"/>
    <w:rsid w:val="BE6F0947"/>
    <w:rsid w:val="BEB9F3E2"/>
    <w:rsid w:val="BEBE2A14"/>
    <w:rsid w:val="BEE3EA30"/>
    <w:rsid w:val="BEE7EB16"/>
    <w:rsid w:val="BEEAAB35"/>
    <w:rsid w:val="BEEB2BA7"/>
    <w:rsid w:val="BEFB2CA2"/>
    <w:rsid w:val="BEFBC191"/>
    <w:rsid w:val="BEFED5A2"/>
    <w:rsid w:val="BF1D1586"/>
    <w:rsid w:val="BF22B30F"/>
    <w:rsid w:val="BF2EAD3E"/>
    <w:rsid w:val="BF2FC71D"/>
    <w:rsid w:val="BF6BA9CC"/>
    <w:rsid w:val="BF7B2CEA"/>
    <w:rsid w:val="BF7D6A5D"/>
    <w:rsid w:val="BF7E6150"/>
    <w:rsid w:val="BF935B90"/>
    <w:rsid w:val="BF96788B"/>
    <w:rsid w:val="BF9E696C"/>
    <w:rsid w:val="BFB7FCB1"/>
    <w:rsid w:val="BFBF5407"/>
    <w:rsid w:val="BFBFB30E"/>
    <w:rsid w:val="BFC7530F"/>
    <w:rsid w:val="BFCD0421"/>
    <w:rsid w:val="BFD5889A"/>
    <w:rsid w:val="BFD6F24A"/>
    <w:rsid w:val="BFDB3AE4"/>
    <w:rsid w:val="BFDF443D"/>
    <w:rsid w:val="BFDF69C3"/>
    <w:rsid w:val="BFEAE8BF"/>
    <w:rsid w:val="BFEFA0CE"/>
    <w:rsid w:val="BFEFF0F8"/>
    <w:rsid w:val="BFF57D4C"/>
    <w:rsid w:val="BFF68A07"/>
    <w:rsid w:val="BFFBC0F6"/>
    <w:rsid w:val="BFFE95FC"/>
    <w:rsid w:val="BFFECA24"/>
    <w:rsid w:val="BFFF0112"/>
    <w:rsid w:val="BFFF8546"/>
    <w:rsid w:val="BFFFDE1A"/>
    <w:rsid w:val="C37B53B6"/>
    <w:rsid w:val="C5DB5B03"/>
    <w:rsid w:val="C6BB522B"/>
    <w:rsid w:val="C7537EEB"/>
    <w:rsid w:val="C7678B2D"/>
    <w:rsid w:val="C7BF231C"/>
    <w:rsid w:val="C7EB608E"/>
    <w:rsid w:val="C89EC084"/>
    <w:rsid w:val="C8BDE775"/>
    <w:rsid w:val="C9FC7D8B"/>
    <w:rsid w:val="C9FF0E54"/>
    <w:rsid w:val="CAFF1D21"/>
    <w:rsid w:val="CAFF8D24"/>
    <w:rsid w:val="CB5EEBD5"/>
    <w:rsid w:val="CB777397"/>
    <w:rsid w:val="CB7B3476"/>
    <w:rsid w:val="CBF73D86"/>
    <w:rsid w:val="CBF7ADA0"/>
    <w:rsid w:val="CBFEE36A"/>
    <w:rsid w:val="CC2F57FC"/>
    <w:rsid w:val="CCE9EB42"/>
    <w:rsid w:val="CDEF1B71"/>
    <w:rsid w:val="CDF5C2D3"/>
    <w:rsid w:val="CDF78443"/>
    <w:rsid w:val="CE653152"/>
    <w:rsid w:val="CE9DD592"/>
    <w:rsid w:val="CEB19E75"/>
    <w:rsid w:val="CEDD4542"/>
    <w:rsid w:val="CEFEBA27"/>
    <w:rsid w:val="CF07E5AE"/>
    <w:rsid w:val="CF8F922C"/>
    <w:rsid w:val="CF9E2C49"/>
    <w:rsid w:val="CFB7B727"/>
    <w:rsid w:val="CFD382F5"/>
    <w:rsid w:val="CFDC9072"/>
    <w:rsid w:val="CFE4E922"/>
    <w:rsid w:val="CFF3FF1E"/>
    <w:rsid w:val="D0FD9C12"/>
    <w:rsid w:val="D16DC452"/>
    <w:rsid w:val="D3FF6C15"/>
    <w:rsid w:val="D4EA5194"/>
    <w:rsid w:val="D4F30A04"/>
    <w:rsid w:val="D5F3720A"/>
    <w:rsid w:val="D5FD1098"/>
    <w:rsid w:val="D5FF3361"/>
    <w:rsid w:val="D5FFC931"/>
    <w:rsid w:val="D6BB95CE"/>
    <w:rsid w:val="D6BFBD0F"/>
    <w:rsid w:val="D6DDDD88"/>
    <w:rsid w:val="D6DF15B0"/>
    <w:rsid w:val="D6DF4DDA"/>
    <w:rsid w:val="D74DD947"/>
    <w:rsid w:val="D74E919C"/>
    <w:rsid w:val="D77B855C"/>
    <w:rsid w:val="D77F2CE7"/>
    <w:rsid w:val="D7B6AD4D"/>
    <w:rsid w:val="D7BF061E"/>
    <w:rsid w:val="D7F1ABE5"/>
    <w:rsid w:val="D7F73B01"/>
    <w:rsid w:val="D7F968AF"/>
    <w:rsid w:val="D7FEE909"/>
    <w:rsid w:val="D7FEF3E0"/>
    <w:rsid w:val="D7FFA5BF"/>
    <w:rsid w:val="D8BF202C"/>
    <w:rsid w:val="D9514514"/>
    <w:rsid w:val="D9BF376F"/>
    <w:rsid w:val="D9EAD53A"/>
    <w:rsid w:val="D9EED941"/>
    <w:rsid w:val="D9F731DC"/>
    <w:rsid w:val="D9FD3BA4"/>
    <w:rsid w:val="D9FF1472"/>
    <w:rsid w:val="DAA71C36"/>
    <w:rsid w:val="DABED573"/>
    <w:rsid w:val="DAFDFDF0"/>
    <w:rsid w:val="DAFE3FFD"/>
    <w:rsid w:val="DB3F136C"/>
    <w:rsid w:val="DB3FBC48"/>
    <w:rsid w:val="DB3FEF9F"/>
    <w:rsid w:val="DB57ABA8"/>
    <w:rsid w:val="DB7B887D"/>
    <w:rsid w:val="DB7F5D36"/>
    <w:rsid w:val="DB7FBDE8"/>
    <w:rsid w:val="DBBF1E3A"/>
    <w:rsid w:val="DBBFB7BF"/>
    <w:rsid w:val="DBC7B291"/>
    <w:rsid w:val="DBCB1FFA"/>
    <w:rsid w:val="DBE584CE"/>
    <w:rsid w:val="DBECE59D"/>
    <w:rsid w:val="DBEF3ABD"/>
    <w:rsid w:val="DBFA52BB"/>
    <w:rsid w:val="DBFD58C3"/>
    <w:rsid w:val="DBFF1A81"/>
    <w:rsid w:val="DBFFD40D"/>
    <w:rsid w:val="DC8F986F"/>
    <w:rsid w:val="DCDFBA3B"/>
    <w:rsid w:val="DCFD5FD8"/>
    <w:rsid w:val="DCFDB701"/>
    <w:rsid w:val="DD3F8DD6"/>
    <w:rsid w:val="DD436540"/>
    <w:rsid w:val="DD60C9C5"/>
    <w:rsid w:val="DD7E4DF5"/>
    <w:rsid w:val="DD7FC5F9"/>
    <w:rsid w:val="DD96C9FE"/>
    <w:rsid w:val="DDBF2D2C"/>
    <w:rsid w:val="DDEEF8F3"/>
    <w:rsid w:val="DDF335AD"/>
    <w:rsid w:val="DDF5D37E"/>
    <w:rsid w:val="DDFA5510"/>
    <w:rsid w:val="DDFA6CF8"/>
    <w:rsid w:val="DDFB1C07"/>
    <w:rsid w:val="DE72DCE2"/>
    <w:rsid w:val="DE7F0ED5"/>
    <w:rsid w:val="DEAB318D"/>
    <w:rsid w:val="DEBBFC1C"/>
    <w:rsid w:val="DEDB7139"/>
    <w:rsid w:val="DEE7CE72"/>
    <w:rsid w:val="DEF51904"/>
    <w:rsid w:val="DEF7DD4A"/>
    <w:rsid w:val="DEFBBF33"/>
    <w:rsid w:val="DEFD60EB"/>
    <w:rsid w:val="DEFF28B9"/>
    <w:rsid w:val="DEFF591D"/>
    <w:rsid w:val="DF452D61"/>
    <w:rsid w:val="DF5DDDA9"/>
    <w:rsid w:val="DF5F0FDC"/>
    <w:rsid w:val="DF5FCA0B"/>
    <w:rsid w:val="DF6F8B98"/>
    <w:rsid w:val="DF77548B"/>
    <w:rsid w:val="DF7BACF5"/>
    <w:rsid w:val="DF7FC749"/>
    <w:rsid w:val="DF7FCD0E"/>
    <w:rsid w:val="DF8666F7"/>
    <w:rsid w:val="DF9C9523"/>
    <w:rsid w:val="DFB78D0A"/>
    <w:rsid w:val="DFC71B06"/>
    <w:rsid w:val="DFD7A974"/>
    <w:rsid w:val="DFDBE12A"/>
    <w:rsid w:val="DFDFB220"/>
    <w:rsid w:val="DFDFF9D7"/>
    <w:rsid w:val="DFECE2CB"/>
    <w:rsid w:val="DFEEBE17"/>
    <w:rsid w:val="DFFA69F8"/>
    <w:rsid w:val="DFFDDC10"/>
    <w:rsid w:val="DFFE07E6"/>
    <w:rsid w:val="DFFF17FD"/>
    <w:rsid w:val="DFFF4332"/>
    <w:rsid w:val="DFFF57CD"/>
    <w:rsid w:val="DFFF5DEA"/>
    <w:rsid w:val="DFFF6285"/>
    <w:rsid w:val="DFFFDBB6"/>
    <w:rsid w:val="E1F7F6A7"/>
    <w:rsid w:val="E2E848AC"/>
    <w:rsid w:val="E2FD003B"/>
    <w:rsid w:val="E37BD875"/>
    <w:rsid w:val="E37F0F14"/>
    <w:rsid w:val="E38F2935"/>
    <w:rsid w:val="E39B9EE4"/>
    <w:rsid w:val="E3CF60FD"/>
    <w:rsid w:val="E3FAABE1"/>
    <w:rsid w:val="E3FEF34D"/>
    <w:rsid w:val="E3FFC3DE"/>
    <w:rsid w:val="E4EFBB6D"/>
    <w:rsid w:val="E53B45C9"/>
    <w:rsid w:val="E5781D00"/>
    <w:rsid w:val="E57FEDB5"/>
    <w:rsid w:val="E5FAC689"/>
    <w:rsid w:val="E67F66FD"/>
    <w:rsid w:val="E6BF249D"/>
    <w:rsid w:val="E726CCE1"/>
    <w:rsid w:val="E77B084E"/>
    <w:rsid w:val="E77E65C4"/>
    <w:rsid w:val="E7B9C9F3"/>
    <w:rsid w:val="E7DF66D7"/>
    <w:rsid w:val="E7DF7394"/>
    <w:rsid w:val="E7FD22B7"/>
    <w:rsid w:val="E7FD8680"/>
    <w:rsid w:val="E87BF329"/>
    <w:rsid w:val="E8FD73B7"/>
    <w:rsid w:val="E91F6817"/>
    <w:rsid w:val="E999AB26"/>
    <w:rsid w:val="E9BF31A5"/>
    <w:rsid w:val="EA396202"/>
    <w:rsid w:val="EA7EF995"/>
    <w:rsid w:val="EA7F0E22"/>
    <w:rsid w:val="EAE6221C"/>
    <w:rsid w:val="EB3F28F1"/>
    <w:rsid w:val="EB6E5CF9"/>
    <w:rsid w:val="EBBD4FBB"/>
    <w:rsid w:val="EBCCD609"/>
    <w:rsid w:val="EBD9C14E"/>
    <w:rsid w:val="EBDBE0B2"/>
    <w:rsid w:val="EBDE1EA2"/>
    <w:rsid w:val="EBDE2363"/>
    <w:rsid w:val="EBF36B6A"/>
    <w:rsid w:val="EBF72F58"/>
    <w:rsid w:val="EBF93819"/>
    <w:rsid w:val="EBFB0753"/>
    <w:rsid w:val="EBFCD55B"/>
    <w:rsid w:val="EBFEBCDF"/>
    <w:rsid w:val="EBFEC1F2"/>
    <w:rsid w:val="EBFF0A9E"/>
    <w:rsid w:val="EBFFA90C"/>
    <w:rsid w:val="ECAC1C0F"/>
    <w:rsid w:val="ECB65917"/>
    <w:rsid w:val="ECD701DC"/>
    <w:rsid w:val="ECDA8B5C"/>
    <w:rsid w:val="ECEFAA43"/>
    <w:rsid w:val="ECF6495A"/>
    <w:rsid w:val="ECFEEAD1"/>
    <w:rsid w:val="ED779348"/>
    <w:rsid w:val="ED7F0A14"/>
    <w:rsid w:val="EDA77140"/>
    <w:rsid w:val="EDBB30BC"/>
    <w:rsid w:val="EDD2FCCB"/>
    <w:rsid w:val="EDD9C4AF"/>
    <w:rsid w:val="EDDF66BE"/>
    <w:rsid w:val="EDFB8705"/>
    <w:rsid w:val="EDFD97AB"/>
    <w:rsid w:val="EE5B8CCE"/>
    <w:rsid w:val="EEBE2D40"/>
    <w:rsid w:val="EEBF169C"/>
    <w:rsid w:val="EEBFD490"/>
    <w:rsid w:val="EEEB71AB"/>
    <w:rsid w:val="EEED0BE9"/>
    <w:rsid w:val="EEEEAA07"/>
    <w:rsid w:val="EEFA72E3"/>
    <w:rsid w:val="EEFE6C91"/>
    <w:rsid w:val="EEFFE9F2"/>
    <w:rsid w:val="EF273C47"/>
    <w:rsid w:val="EF2D3B25"/>
    <w:rsid w:val="EF2EF39E"/>
    <w:rsid w:val="EF2F2757"/>
    <w:rsid w:val="EF36783C"/>
    <w:rsid w:val="EF3A7B95"/>
    <w:rsid w:val="EF70C314"/>
    <w:rsid w:val="EF77C663"/>
    <w:rsid w:val="EF7F83DD"/>
    <w:rsid w:val="EF7FAA7B"/>
    <w:rsid w:val="EF97CCAD"/>
    <w:rsid w:val="EFB74358"/>
    <w:rsid w:val="EFBC0886"/>
    <w:rsid w:val="EFBC3905"/>
    <w:rsid w:val="EFBE8688"/>
    <w:rsid w:val="EFBFB777"/>
    <w:rsid w:val="EFBFEF38"/>
    <w:rsid w:val="EFCB1A41"/>
    <w:rsid w:val="EFDE255F"/>
    <w:rsid w:val="EFDF789C"/>
    <w:rsid w:val="EFDF7D92"/>
    <w:rsid w:val="EFE150A2"/>
    <w:rsid w:val="EFE7144A"/>
    <w:rsid w:val="EFF33B51"/>
    <w:rsid w:val="EFF562F0"/>
    <w:rsid w:val="EFFB0419"/>
    <w:rsid w:val="EFFB136A"/>
    <w:rsid w:val="EFFC8444"/>
    <w:rsid w:val="EFFE2395"/>
    <w:rsid w:val="EFFE3242"/>
    <w:rsid w:val="EFFF8C2E"/>
    <w:rsid w:val="EFFFA0AB"/>
    <w:rsid w:val="EFFFAE4D"/>
    <w:rsid w:val="F0536D57"/>
    <w:rsid w:val="F0B1C183"/>
    <w:rsid w:val="F0F6C22F"/>
    <w:rsid w:val="F19F3723"/>
    <w:rsid w:val="F1BC1965"/>
    <w:rsid w:val="F1BD9C9E"/>
    <w:rsid w:val="F1DB3147"/>
    <w:rsid w:val="F26FF438"/>
    <w:rsid w:val="F27610E2"/>
    <w:rsid w:val="F2FD91E2"/>
    <w:rsid w:val="F2FF3B2B"/>
    <w:rsid w:val="F2FFAF80"/>
    <w:rsid w:val="F35F7D1E"/>
    <w:rsid w:val="F37B9B7F"/>
    <w:rsid w:val="F3933022"/>
    <w:rsid w:val="F3B4ED35"/>
    <w:rsid w:val="F3D7D7F7"/>
    <w:rsid w:val="F3E6BC8F"/>
    <w:rsid w:val="F3F7AAA5"/>
    <w:rsid w:val="F4AD3CD1"/>
    <w:rsid w:val="F4DD80E0"/>
    <w:rsid w:val="F4F773F0"/>
    <w:rsid w:val="F4FB71B3"/>
    <w:rsid w:val="F52F2878"/>
    <w:rsid w:val="F5D37835"/>
    <w:rsid w:val="F5EA2262"/>
    <w:rsid w:val="F5F05359"/>
    <w:rsid w:val="F5FC206D"/>
    <w:rsid w:val="F5FEC823"/>
    <w:rsid w:val="F5FF641F"/>
    <w:rsid w:val="F5FFB8CC"/>
    <w:rsid w:val="F5FFE3E2"/>
    <w:rsid w:val="F5FFF8F7"/>
    <w:rsid w:val="F6279BB3"/>
    <w:rsid w:val="F69B8342"/>
    <w:rsid w:val="F6E947AE"/>
    <w:rsid w:val="F6EFAFDD"/>
    <w:rsid w:val="F6FD4D9D"/>
    <w:rsid w:val="F6FF1F3C"/>
    <w:rsid w:val="F6FFA5EF"/>
    <w:rsid w:val="F74F04A5"/>
    <w:rsid w:val="F75BD683"/>
    <w:rsid w:val="F75CB06E"/>
    <w:rsid w:val="F765502B"/>
    <w:rsid w:val="F76D75E4"/>
    <w:rsid w:val="F779B2DF"/>
    <w:rsid w:val="F77C30DF"/>
    <w:rsid w:val="F77F3F81"/>
    <w:rsid w:val="F79E48BA"/>
    <w:rsid w:val="F79E5F20"/>
    <w:rsid w:val="F79F48C6"/>
    <w:rsid w:val="F79FEC5B"/>
    <w:rsid w:val="F7A3F72C"/>
    <w:rsid w:val="F7AF087A"/>
    <w:rsid w:val="F7AFB1C5"/>
    <w:rsid w:val="F7B119AD"/>
    <w:rsid w:val="F7B227EE"/>
    <w:rsid w:val="F7BC69CD"/>
    <w:rsid w:val="F7BF9668"/>
    <w:rsid w:val="F7BFB0AC"/>
    <w:rsid w:val="F7DEEEC6"/>
    <w:rsid w:val="F7DF2BE1"/>
    <w:rsid w:val="F7DF9C02"/>
    <w:rsid w:val="F7E74B0A"/>
    <w:rsid w:val="F7EE1831"/>
    <w:rsid w:val="F7F00351"/>
    <w:rsid w:val="F7F3040F"/>
    <w:rsid w:val="F7F3AD18"/>
    <w:rsid w:val="F7F5049C"/>
    <w:rsid w:val="F7FD4CEE"/>
    <w:rsid w:val="F7FF0C8D"/>
    <w:rsid w:val="F7FF96A2"/>
    <w:rsid w:val="F7FFE675"/>
    <w:rsid w:val="F7FFFD47"/>
    <w:rsid w:val="F8165028"/>
    <w:rsid w:val="F8BB6043"/>
    <w:rsid w:val="F8DD8FF2"/>
    <w:rsid w:val="F8ED8A3D"/>
    <w:rsid w:val="F8EFCFCC"/>
    <w:rsid w:val="F8F745DE"/>
    <w:rsid w:val="F955BCA8"/>
    <w:rsid w:val="F95F1CF1"/>
    <w:rsid w:val="F97FDD31"/>
    <w:rsid w:val="F9A7D231"/>
    <w:rsid w:val="F9AFFF49"/>
    <w:rsid w:val="F9B74E2F"/>
    <w:rsid w:val="F9D612D3"/>
    <w:rsid w:val="F9D6AF7C"/>
    <w:rsid w:val="F9EA7989"/>
    <w:rsid w:val="F9ED2BF8"/>
    <w:rsid w:val="F9FD1315"/>
    <w:rsid w:val="FAAAD94D"/>
    <w:rsid w:val="FAEBC600"/>
    <w:rsid w:val="FAFC5E5F"/>
    <w:rsid w:val="FAFE1051"/>
    <w:rsid w:val="FAFF683C"/>
    <w:rsid w:val="FAFFC7B0"/>
    <w:rsid w:val="FB1F8DA0"/>
    <w:rsid w:val="FB5EEEA1"/>
    <w:rsid w:val="FB6B546C"/>
    <w:rsid w:val="FB6FA54A"/>
    <w:rsid w:val="FB7F1F91"/>
    <w:rsid w:val="FB7F33EE"/>
    <w:rsid w:val="FB7F3876"/>
    <w:rsid w:val="FB7F5295"/>
    <w:rsid w:val="FB7FD4B3"/>
    <w:rsid w:val="FB9DF123"/>
    <w:rsid w:val="FB9F5DDE"/>
    <w:rsid w:val="FB9FDBE6"/>
    <w:rsid w:val="FBB4F6D4"/>
    <w:rsid w:val="FBBB83BA"/>
    <w:rsid w:val="FBBD23AE"/>
    <w:rsid w:val="FBBE293A"/>
    <w:rsid w:val="FBBF8916"/>
    <w:rsid w:val="FBBF96CC"/>
    <w:rsid w:val="FBBFAF72"/>
    <w:rsid w:val="FBDDA4B2"/>
    <w:rsid w:val="FBDDC22C"/>
    <w:rsid w:val="FBDEA97F"/>
    <w:rsid w:val="FBDF38A1"/>
    <w:rsid w:val="FBE778BD"/>
    <w:rsid w:val="FBEAEFF6"/>
    <w:rsid w:val="FBED6B10"/>
    <w:rsid w:val="FBEE568F"/>
    <w:rsid w:val="FBEF8E9D"/>
    <w:rsid w:val="FBFB0251"/>
    <w:rsid w:val="FBFEA49F"/>
    <w:rsid w:val="FBFECA48"/>
    <w:rsid w:val="FBFFE190"/>
    <w:rsid w:val="FC7F0AA5"/>
    <w:rsid w:val="FCA9B50D"/>
    <w:rsid w:val="FCB1DFA7"/>
    <w:rsid w:val="FCBBC6C2"/>
    <w:rsid w:val="FCD304F1"/>
    <w:rsid w:val="FCDFEAA7"/>
    <w:rsid w:val="FCE53991"/>
    <w:rsid w:val="FCE93635"/>
    <w:rsid w:val="FCF365EB"/>
    <w:rsid w:val="FCFA4953"/>
    <w:rsid w:val="FCFB5246"/>
    <w:rsid w:val="FCFF790F"/>
    <w:rsid w:val="FCFFB406"/>
    <w:rsid w:val="FCFFB756"/>
    <w:rsid w:val="FD317F73"/>
    <w:rsid w:val="FD4D219A"/>
    <w:rsid w:val="FD4DC783"/>
    <w:rsid w:val="FD6F97EE"/>
    <w:rsid w:val="FD6FE336"/>
    <w:rsid w:val="FD76E953"/>
    <w:rsid w:val="FD77084F"/>
    <w:rsid w:val="FD77405D"/>
    <w:rsid w:val="FD7ACFB4"/>
    <w:rsid w:val="FD7E247B"/>
    <w:rsid w:val="FD7F3898"/>
    <w:rsid w:val="FD7F4E4A"/>
    <w:rsid w:val="FD7FC275"/>
    <w:rsid w:val="FD8FC74E"/>
    <w:rsid w:val="FD95C14F"/>
    <w:rsid w:val="FDAA8665"/>
    <w:rsid w:val="FDAF77E1"/>
    <w:rsid w:val="FDB5FEEE"/>
    <w:rsid w:val="FDB736A0"/>
    <w:rsid w:val="FDBC5A23"/>
    <w:rsid w:val="FDBCB7E8"/>
    <w:rsid w:val="FDBD19D8"/>
    <w:rsid w:val="FDBE12BE"/>
    <w:rsid w:val="FDBF1784"/>
    <w:rsid w:val="FDBFC7CE"/>
    <w:rsid w:val="FDBFE6A7"/>
    <w:rsid w:val="FDC985DD"/>
    <w:rsid w:val="FDDB5C3A"/>
    <w:rsid w:val="FDDD28BC"/>
    <w:rsid w:val="FDDF1EE0"/>
    <w:rsid w:val="FDE78B6F"/>
    <w:rsid w:val="FDEF3FC9"/>
    <w:rsid w:val="FDF1C8E1"/>
    <w:rsid w:val="FDF91F12"/>
    <w:rsid w:val="FDFD04C7"/>
    <w:rsid w:val="FDFD2CA3"/>
    <w:rsid w:val="FDFDC9F2"/>
    <w:rsid w:val="FDFDE510"/>
    <w:rsid w:val="FDFF0289"/>
    <w:rsid w:val="FDFF0609"/>
    <w:rsid w:val="FDFF1CDA"/>
    <w:rsid w:val="FDFF960A"/>
    <w:rsid w:val="FDFFD945"/>
    <w:rsid w:val="FE050898"/>
    <w:rsid w:val="FE333E40"/>
    <w:rsid w:val="FE5FA376"/>
    <w:rsid w:val="FE5FB08C"/>
    <w:rsid w:val="FE74F899"/>
    <w:rsid w:val="FE771D69"/>
    <w:rsid w:val="FE7F3099"/>
    <w:rsid w:val="FE875202"/>
    <w:rsid w:val="FEA9FB46"/>
    <w:rsid w:val="FEAB7D0F"/>
    <w:rsid w:val="FEAE069E"/>
    <w:rsid w:val="FEBB9F6A"/>
    <w:rsid w:val="FEBE5258"/>
    <w:rsid w:val="FEBF4EA6"/>
    <w:rsid w:val="FEBF7275"/>
    <w:rsid w:val="FEBF8EF9"/>
    <w:rsid w:val="FECF8BB7"/>
    <w:rsid w:val="FED25DEA"/>
    <w:rsid w:val="FED7D2D6"/>
    <w:rsid w:val="FED7F028"/>
    <w:rsid w:val="FEDFF52A"/>
    <w:rsid w:val="FEE527BF"/>
    <w:rsid w:val="FEE9115B"/>
    <w:rsid w:val="FEEC1F94"/>
    <w:rsid w:val="FEEEFD56"/>
    <w:rsid w:val="FEEF1ABE"/>
    <w:rsid w:val="FEEFB614"/>
    <w:rsid w:val="FEF34418"/>
    <w:rsid w:val="FEF70F86"/>
    <w:rsid w:val="FEFABD73"/>
    <w:rsid w:val="FEFAFDC0"/>
    <w:rsid w:val="FEFB69A8"/>
    <w:rsid w:val="FEFD63A9"/>
    <w:rsid w:val="FEFDCD41"/>
    <w:rsid w:val="FEFEDE2E"/>
    <w:rsid w:val="FEFF836B"/>
    <w:rsid w:val="FEFF866B"/>
    <w:rsid w:val="FEFF9E96"/>
    <w:rsid w:val="FF14E6DA"/>
    <w:rsid w:val="FF1E2E54"/>
    <w:rsid w:val="FF1FA778"/>
    <w:rsid w:val="FF2785FE"/>
    <w:rsid w:val="FF2F8039"/>
    <w:rsid w:val="FF3BCD30"/>
    <w:rsid w:val="FF3D42F6"/>
    <w:rsid w:val="FF3DF780"/>
    <w:rsid w:val="FF3EBCC1"/>
    <w:rsid w:val="FF3F03EF"/>
    <w:rsid w:val="FF3F5BDA"/>
    <w:rsid w:val="FF3FDD89"/>
    <w:rsid w:val="FF552BA6"/>
    <w:rsid w:val="FF5D6E49"/>
    <w:rsid w:val="FF6B2AC2"/>
    <w:rsid w:val="FF6BEB4B"/>
    <w:rsid w:val="FF6EC003"/>
    <w:rsid w:val="FF745FCB"/>
    <w:rsid w:val="FF7774E3"/>
    <w:rsid w:val="FF7B5B0A"/>
    <w:rsid w:val="FF7C4A96"/>
    <w:rsid w:val="FF7D0FB8"/>
    <w:rsid w:val="FF7D37AA"/>
    <w:rsid w:val="FF7EC91F"/>
    <w:rsid w:val="FF7EF7C3"/>
    <w:rsid w:val="FF7F2ABC"/>
    <w:rsid w:val="FF7FAD11"/>
    <w:rsid w:val="FF7FD54F"/>
    <w:rsid w:val="FF87104A"/>
    <w:rsid w:val="FF915CCB"/>
    <w:rsid w:val="FF952D31"/>
    <w:rsid w:val="FF974DF3"/>
    <w:rsid w:val="FF97A9BC"/>
    <w:rsid w:val="FF9B0708"/>
    <w:rsid w:val="FF9EEFA3"/>
    <w:rsid w:val="FFAFD857"/>
    <w:rsid w:val="FFB91AFA"/>
    <w:rsid w:val="FFBAB542"/>
    <w:rsid w:val="FFBDE475"/>
    <w:rsid w:val="FFBF0DE3"/>
    <w:rsid w:val="FFBF216A"/>
    <w:rsid w:val="FFBF2BA4"/>
    <w:rsid w:val="FFBF8968"/>
    <w:rsid w:val="FFC4EE4C"/>
    <w:rsid w:val="FFCB41BB"/>
    <w:rsid w:val="FFCBC27C"/>
    <w:rsid w:val="FFCD7212"/>
    <w:rsid w:val="FFCF7A10"/>
    <w:rsid w:val="FFCF7B45"/>
    <w:rsid w:val="FFD332B2"/>
    <w:rsid w:val="FFD336CE"/>
    <w:rsid w:val="FFD3443D"/>
    <w:rsid w:val="FFD39E2C"/>
    <w:rsid w:val="FFD5FD0F"/>
    <w:rsid w:val="FFD98B23"/>
    <w:rsid w:val="FFDA4305"/>
    <w:rsid w:val="FFDA73C6"/>
    <w:rsid w:val="FFDD93B4"/>
    <w:rsid w:val="FFDF8C77"/>
    <w:rsid w:val="FFDFC767"/>
    <w:rsid w:val="FFDFEF62"/>
    <w:rsid w:val="FFE3A1D9"/>
    <w:rsid w:val="FFE56806"/>
    <w:rsid w:val="FFE63563"/>
    <w:rsid w:val="FFE6F664"/>
    <w:rsid w:val="FFE7A2FF"/>
    <w:rsid w:val="FFE95A6B"/>
    <w:rsid w:val="FFE9CE75"/>
    <w:rsid w:val="FFEA0F48"/>
    <w:rsid w:val="FFEA65BD"/>
    <w:rsid w:val="FFEC3D13"/>
    <w:rsid w:val="FFEDE120"/>
    <w:rsid w:val="FFEE7C3A"/>
    <w:rsid w:val="FFEE8763"/>
    <w:rsid w:val="FFEF3FCD"/>
    <w:rsid w:val="FFEF6A2D"/>
    <w:rsid w:val="FFEFED86"/>
    <w:rsid w:val="FFF25DED"/>
    <w:rsid w:val="FFF34795"/>
    <w:rsid w:val="FFF4668B"/>
    <w:rsid w:val="FFF573E5"/>
    <w:rsid w:val="FFF79AC6"/>
    <w:rsid w:val="FFF7CBDA"/>
    <w:rsid w:val="FFF7DEBC"/>
    <w:rsid w:val="FFF7ED49"/>
    <w:rsid w:val="FFF9092C"/>
    <w:rsid w:val="FFF9ED21"/>
    <w:rsid w:val="FFFB3D02"/>
    <w:rsid w:val="FFFB718B"/>
    <w:rsid w:val="FFFBD061"/>
    <w:rsid w:val="FFFBEC13"/>
    <w:rsid w:val="FFFCAC75"/>
    <w:rsid w:val="FFFD1CAC"/>
    <w:rsid w:val="FFFDC739"/>
    <w:rsid w:val="FFFEB08F"/>
    <w:rsid w:val="FFFED637"/>
    <w:rsid w:val="FFFF2EC9"/>
    <w:rsid w:val="FFFF3BBF"/>
    <w:rsid w:val="FFFF3D57"/>
    <w:rsid w:val="FFFF7A4E"/>
    <w:rsid w:val="FFFF7BD9"/>
    <w:rsid w:val="FFFF83D4"/>
    <w:rsid w:val="FFFF9079"/>
    <w:rsid w:val="FFFF9F40"/>
    <w:rsid w:val="FFFFB76D"/>
    <w:rsid w:val="FFFFE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3"/>
    <w:qFormat/>
    <w:uiPriority w:val="0"/>
    <w:pPr>
      <w:keepNext/>
      <w:keepLines/>
      <w:widowControl w:val="0"/>
      <w:adjustRightInd/>
      <w:snapToGrid/>
      <w:spacing w:before="340" w:after="330" w:line="578" w:lineRule="auto"/>
      <w:jc w:val="left"/>
      <w:outlineLvl w:val="0"/>
    </w:pPr>
    <w:rPr>
      <w:rFonts w:ascii="Calibri" w:hAnsi="Calibri" w:eastAsia="宋体" w:cs="宋体"/>
      <w:b/>
      <w:bCs/>
      <w:kern w:val="44"/>
      <w:sz w:val="32"/>
      <w:szCs w:val="32"/>
    </w:rPr>
  </w:style>
  <w:style w:type="paragraph" w:styleId="4">
    <w:name w:val="heading 2"/>
    <w:basedOn w:val="1"/>
    <w:next w:val="1"/>
    <w:link w:val="14"/>
    <w:semiHidden/>
    <w:unhideWhenUsed/>
    <w:qFormat/>
    <w:uiPriority w:val="0"/>
    <w:pPr>
      <w:keepNext/>
      <w:keepLines/>
      <w:spacing w:line="360" w:lineRule="auto"/>
      <w:jc w:val="left"/>
      <w:outlineLvl w:val="1"/>
    </w:pPr>
    <w:rPr>
      <w:rFonts w:ascii="Cambria" w:hAnsi="Cambria" w:eastAsia="宋体" w:cs="Times New Roman"/>
      <w:b/>
      <w:bCs/>
      <w:kern w:val="0"/>
      <w:sz w:val="32"/>
      <w:szCs w:val="32"/>
    </w:rPr>
  </w:style>
  <w:style w:type="paragraph" w:styleId="5">
    <w:name w:val="heading 3"/>
    <w:basedOn w:val="1"/>
    <w:next w:val="1"/>
    <w:link w:val="15"/>
    <w:semiHidden/>
    <w:unhideWhenUsed/>
    <w:qFormat/>
    <w:uiPriority w:val="0"/>
    <w:pPr>
      <w:keepNext/>
      <w:keepLines/>
      <w:spacing w:before="260" w:after="260" w:line="416" w:lineRule="auto"/>
      <w:outlineLvl w:val="2"/>
    </w:pPr>
    <w:rPr>
      <w:rFonts w:ascii="Times New Roman" w:hAnsi="Times New Roman" w:eastAsia="宋体" w:cs="Times New Roman"/>
      <w:bCs/>
      <w:sz w:val="28"/>
    </w:rPr>
  </w:style>
  <w:style w:type="character" w:default="1" w:styleId="10">
    <w:name w:val="Default Paragraph Font"/>
    <w:link w:val="11"/>
    <w:qFormat/>
    <w:uiPriority w:val="0"/>
    <w:rPr>
      <w:rFonts w:ascii="Times New Roman" w:hAnsi="Times New Roman" w:cs="Times New Roman"/>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pPr>
  </w:style>
  <w:style w:type="paragraph" w:customStyle="1" w:styleId="11">
    <w:name w:val="_Style 130"/>
    <w:basedOn w:val="1"/>
    <w:link w:val="10"/>
    <w:qFormat/>
    <w:uiPriority w:val="0"/>
    <w:pPr>
      <w:widowControl/>
      <w:jc w:val="left"/>
    </w:pPr>
    <w:rPr>
      <w:rFonts w:ascii="Times New Roman" w:hAnsi="Times New Roman" w:cs="Times New Roman"/>
      <w:szCs w:val="24"/>
    </w:rPr>
  </w:style>
  <w:style w:type="character" w:styleId="12">
    <w:name w:val="Strong"/>
    <w:basedOn w:val="10"/>
    <w:qFormat/>
    <w:uiPriority w:val="0"/>
    <w:rPr>
      <w:b/>
    </w:rPr>
  </w:style>
  <w:style w:type="character" w:customStyle="1" w:styleId="13">
    <w:name w:val="标题 1 Char"/>
    <w:link w:val="3"/>
    <w:qFormat/>
    <w:uiPriority w:val="0"/>
    <w:rPr>
      <w:rFonts w:ascii="Calibri" w:hAnsi="Calibri" w:eastAsia="宋体" w:cs="宋体"/>
      <w:b/>
      <w:bCs/>
      <w:kern w:val="44"/>
      <w:sz w:val="44"/>
      <w:szCs w:val="32"/>
    </w:rPr>
  </w:style>
  <w:style w:type="character" w:customStyle="1" w:styleId="14">
    <w:name w:val="标题 2 Char"/>
    <w:link w:val="4"/>
    <w:qFormat/>
    <w:uiPriority w:val="0"/>
    <w:rPr>
      <w:rFonts w:ascii="Cambria" w:hAnsi="Cambria" w:eastAsia="宋体" w:cs="Times New Roman"/>
      <w:b/>
      <w:bCs/>
      <w:kern w:val="0"/>
      <w:sz w:val="32"/>
      <w:szCs w:val="32"/>
    </w:rPr>
  </w:style>
  <w:style w:type="character" w:customStyle="1" w:styleId="15">
    <w:name w:val="标题 3 Char"/>
    <w:basedOn w:val="10"/>
    <w:link w:val="5"/>
    <w:semiHidden/>
    <w:qFormat/>
    <w:uiPriority w:val="0"/>
    <w:rPr>
      <w:rFonts w:ascii="Times New Roman" w:hAnsi="Times New Roman" w:eastAsia="宋体" w:cs="Times New Roman"/>
      <w:bCs/>
      <w:sz w:val="28"/>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10.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9.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按产业分组的需求人数占比</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55"/>
          <c:y val="0.129833333333333"/>
          <c:w val="0.945"/>
          <c:h val="0.760833333333333"/>
        </c:manualLayout>
      </c:layout>
      <c:pie3DChart>
        <c:varyColors val="1"/>
        <c:ser>
          <c:idx val="0"/>
          <c:order val="0"/>
          <c:tx>
            <c:strRef>
              <c:f>Sheet1!$B$1</c:f>
              <c:strCache>
                <c:ptCount val="1"/>
                <c:pt idx="0">
                  <c:v>需求人数</c:v>
                </c:pt>
              </c:strCache>
            </c:strRef>
          </c:tx>
          <c:spPr>
            <a:scene3d>
              <a:camera prst="orthographicFront"/>
              <a:lightRig rig="threePt" dir="t"/>
            </a:scene3d>
            <a:sp3d contourW="25400"/>
          </c:spPr>
          <c:explosion val="0"/>
          <c:dPt>
            <c:idx val="0"/>
            <c:bubble3D val="0"/>
            <c:spPr>
              <a:solidFill>
                <a:schemeClr val="accent1">
                  <a:shade val="65000"/>
                </a:schemeClr>
              </a:solidFill>
              <a:ln w="25400">
                <a:solidFill>
                  <a:schemeClr val="lt1"/>
                </a:solidFill>
              </a:ln>
              <a:effectLst/>
              <a:scene3d>
                <a:camera prst="orthographicFront"/>
                <a:lightRig rig="threePt" dir="t"/>
              </a:scene3d>
              <a:sp3d contourW="25400"/>
            </c:spPr>
          </c:dPt>
          <c:dPt>
            <c:idx val="1"/>
            <c:bubble3D val="0"/>
            <c:spPr>
              <a:solidFill>
                <a:schemeClr val="accent1"/>
              </a:solidFill>
              <a:ln w="25400">
                <a:solidFill>
                  <a:schemeClr val="lt1"/>
                </a:solidFill>
              </a:ln>
              <a:effectLst/>
              <a:scene3d>
                <a:camera prst="orthographicFront"/>
                <a:lightRig rig="threePt" dir="t"/>
              </a:scene3d>
              <a:sp3d contourW="25400"/>
            </c:spPr>
          </c:dPt>
          <c:dPt>
            <c:idx val="2"/>
            <c:bubble3D val="0"/>
            <c:spPr>
              <a:solidFill>
                <a:schemeClr val="accent1">
                  <a:tint val="65000"/>
                </a:schemeClr>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第一产业</c:v>
                </c:pt>
                <c:pt idx="1">
                  <c:v>第二产业</c:v>
                </c:pt>
                <c:pt idx="2">
                  <c:v>第三产业</c:v>
                </c:pt>
              </c:strCache>
            </c:strRef>
          </c:cat>
          <c:val>
            <c:numRef>
              <c:f>Sheet1!$B$2:$B$4</c:f>
              <c:numCache>
                <c:formatCode>#,##0</c:formatCode>
                <c:ptCount val="3"/>
                <c:pt idx="0">
                  <c:v>227</c:v>
                </c:pt>
                <c:pt idx="1">
                  <c:v>2455</c:v>
                </c:pt>
                <c:pt idx="2">
                  <c:v>12349</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按技术等级分组的供求人数</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需求人数 (人)</c:v>
                </c:pt>
              </c:strCache>
            </c:strRef>
          </c:tx>
          <c:spPr>
            <a:solidFill>
              <a:schemeClr val="accent1">
                <a:shade val="58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Sheet1!$B$2:$B$11</c:f>
              <c:numCache>
                <c:formatCode>#,##0</c:formatCode>
                <c:ptCount val="10"/>
                <c:pt idx="0">
                  <c:v>459</c:v>
                </c:pt>
                <c:pt idx="1">
                  <c:v>329</c:v>
                </c:pt>
                <c:pt idx="2">
                  <c:v>0</c:v>
                </c:pt>
                <c:pt idx="3">
                  <c:v>17</c:v>
                </c:pt>
                <c:pt idx="4">
                  <c:v>57</c:v>
                </c:pt>
                <c:pt idx="5">
                  <c:v>788</c:v>
                </c:pt>
                <c:pt idx="6">
                  <c:v>197</c:v>
                </c:pt>
                <c:pt idx="7">
                  <c:v>31</c:v>
                </c:pt>
                <c:pt idx="9">
                  <c:v>13153</c:v>
                </c:pt>
              </c:numCache>
            </c:numRef>
          </c:val>
        </c:ser>
        <c:ser>
          <c:idx val="2"/>
          <c:order val="2"/>
          <c:tx>
            <c:strRef>
              <c:f>Sheet1!$D$1</c:f>
              <c:strCache>
                <c:ptCount val="1"/>
                <c:pt idx="0">
                  <c:v>求职 人数 (人)</c:v>
                </c:pt>
              </c:strCache>
            </c:strRef>
          </c:tx>
          <c:spPr>
            <a:solidFill>
              <a:schemeClr val="accent1">
                <a:tint val="86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Sheet1!$D$2:$D$11</c:f>
              <c:numCache>
                <c:formatCode>#,##0</c:formatCode>
                <c:ptCount val="10"/>
                <c:pt idx="0">
                  <c:v>232</c:v>
                </c:pt>
                <c:pt idx="1">
                  <c:v>147</c:v>
                </c:pt>
                <c:pt idx="2">
                  <c:v>20</c:v>
                </c:pt>
                <c:pt idx="3">
                  <c:v>37</c:v>
                </c:pt>
                <c:pt idx="4">
                  <c:v>0</c:v>
                </c:pt>
                <c:pt idx="5">
                  <c:v>225</c:v>
                </c:pt>
                <c:pt idx="6">
                  <c:v>14</c:v>
                </c:pt>
                <c:pt idx="7">
                  <c:v>2</c:v>
                </c:pt>
                <c:pt idx="8">
                  <c:v>11020</c:v>
                </c:pt>
              </c:numCache>
            </c:numRef>
          </c:val>
        </c:ser>
        <c:dLbls>
          <c:showLegendKey val="0"/>
          <c:showVal val="1"/>
          <c:showCatName val="0"/>
          <c:showSerName val="0"/>
          <c:showPercent val="0"/>
          <c:showBubbleSize val="0"/>
        </c:dLbls>
        <c:gapWidth val="219"/>
        <c:overlap val="0"/>
        <c:axId val="166477199"/>
        <c:axId val="979403947"/>
      </c:barChart>
      <c:lineChart>
        <c:grouping val="standard"/>
        <c:varyColors val="0"/>
        <c:ser>
          <c:idx val="1"/>
          <c:order val="1"/>
          <c:tx>
            <c:strRef>
              <c:f>Sheet1!$C$1</c:f>
              <c:strCache>
                <c:ptCount val="1"/>
                <c:pt idx="0">
                  <c:v>需求比重(%)</c:v>
                </c:pt>
              </c:strCache>
            </c:strRef>
          </c:tx>
          <c:spPr>
            <a:ln w="28575" cap="rnd">
              <a:solidFill>
                <a:schemeClr val="accent1">
                  <a:shade val="86000"/>
                </a:schemeClr>
              </a:solidFill>
              <a:round/>
            </a:ln>
            <a:effectLst/>
          </c:spPr>
          <c:marker>
            <c:symbol val="none"/>
          </c:marker>
          <c:dLbls>
            <c:dLbl>
              <c:idx val="0"/>
              <c:layout>
                <c:manualLayout>
                  <c:x val="-0.0615006150061501"/>
                  <c:y val="0.053867700926524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38224156921027"/>
                  <c:y val="-0.04897105104230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2368744740079"/>
                  <c:y val="0.0304891187244128"/>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433741179517058"/>
                      <c:h val="0.0328592975651799"/>
                    </c:manualLayout>
                  </c15:layout>
                </c:ext>
              </c:extLst>
            </c:dLbl>
            <c:dLbl>
              <c:idx val="3"/>
              <c:layout>
                <c:manualLayout>
                  <c:x val="-0.0409066904485955"/>
                  <c:y val="-0.06452136650976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45050818929242"/>
                  <c:y val="-0.096854126265891"/>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23726289894478"/>
                      <c:h val="0.0613014436543848"/>
                    </c:manualLayout>
                  </c15:layout>
                </c:ext>
              </c:extLst>
            </c:dLbl>
            <c:dLbl>
              <c:idx val="5"/>
              <c:layout>
                <c:manualLayout>
                  <c:x val="0.00848208618820696"/>
                  <c:y val="-0.05031243266537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669503646529337"/>
                  <c:y val="-0.06364582669470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32368744740079"/>
                  <c:y val="-0.05214393449687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94212468440474"/>
                  <c:y val="0.03943115707821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433741179517058"/>
                  <c:y val="-0.04664942900237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Sheet1!$C$2:$C$11</c:f>
              <c:numCache>
                <c:formatCode>#,##0.00</c:formatCode>
                <c:ptCount val="10"/>
                <c:pt idx="0">
                  <c:v>3.05</c:v>
                </c:pt>
                <c:pt idx="1">
                  <c:v>2.19</c:v>
                </c:pt>
                <c:pt idx="2">
                  <c:v>0</c:v>
                </c:pt>
                <c:pt idx="3">
                  <c:v>0.11</c:v>
                </c:pt>
                <c:pt idx="4">
                  <c:v>0.38</c:v>
                </c:pt>
                <c:pt idx="5">
                  <c:v>5.24</c:v>
                </c:pt>
                <c:pt idx="6">
                  <c:v>1.31</c:v>
                </c:pt>
                <c:pt idx="7">
                  <c:v>0.21</c:v>
                </c:pt>
                <c:pt idx="9">
                  <c:v>87.51</c:v>
                </c:pt>
              </c:numCache>
            </c:numRef>
          </c:val>
          <c:smooth val="0"/>
        </c:ser>
        <c:ser>
          <c:idx val="3"/>
          <c:order val="3"/>
          <c:tx>
            <c:strRef>
              <c:f>Sheet1!$E$1</c:f>
              <c:strCache>
                <c:ptCount val="1"/>
                <c:pt idx="0">
                  <c:v>求职 比重(%)</c:v>
                </c:pt>
              </c:strCache>
            </c:strRef>
          </c:tx>
          <c:spPr>
            <a:ln w="28575" cap="rnd">
              <a:solidFill>
                <a:schemeClr val="accent1">
                  <a:tint val="58000"/>
                </a:schemeClr>
              </a:solidFill>
              <a:round/>
            </a:ln>
            <a:effectLst/>
          </c:spPr>
          <c:marker>
            <c:symbol val="none"/>
          </c:marker>
          <c:dLbls>
            <c:dLbl>
              <c:idx val="0"/>
              <c:layout>
                <c:manualLayout>
                  <c:x val="0.0032368744740079"/>
                  <c:y val="-0.03770739064856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29474515761925"/>
                  <c:y val="0.0219719523779175"/>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4508966142293"/>
                      <c:h val="0.044063779357897"/>
                    </c:manualLayout>
                  </c15:layout>
                </c:ext>
              </c:extLst>
            </c:dLbl>
            <c:dLbl>
              <c:idx val="2"/>
              <c:layout>
                <c:manualLayout>
                  <c:x val="0.00433741179517058"/>
                  <c:y val="-0.05742296918767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4737489480158"/>
                  <c:y val="-0.08791208791208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03315800171362"/>
                  <c:y val="0.02405281361370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20798627918136"/>
                  <c:y val="-0.04370567295173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43108231046449"/>
                  <c:y val="-0.07195510923762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110053732116269"/>
                  <c:y val="0.05031243266537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750954877969832"/>
                  <c:y val="-0.04481792717086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Sheet1!$E$2:$E$11</c:f>
              <c:numCache>
                <c:formatCode>#,##0.00</c:formatCode>
                <c:ptCount val="10"/>
                <c:pt idx="0">
                  <c:v>1.98</c:v>
                </c:pt>
                <c:pt idx="1">
                  <c:v>1.26</c:v>
                </c:pt>
                <c:pt idx="2">
                  <c:v>0.17</c:v>
                </c:pt>
                <c:pt idx="3">
                  <c:v>0.32</c:v>
                </c:pt>
                <c:pt idx="4">
                  <c:v>0</c:v>
                </c:pt>
                <c:pt idx="5">
                  <c:v>1.92</c:v>
                </c:pt>
                <c:pt idx="6">
                  <c:v>0.12</c:v>
                </c:pt>
                <c:pt idx="7">
                  <c:v>0.02</c:v>
                </c:pt>
                <c:pt idx="8">
                  <c:v>94.21</c:v>
                </c:pt>
              </c:numCache>
            </c:numRef>
          </c:val>
          <c:smooth val="0"/>
        </c:ser>
        <c:dLbls>
          <c:showLegendKey val="0"/>
          <c:showVal val="1"/>
          <c:showCatName val="0"/>
          <c:showSerName val="0"/>
          <c:showPercent val="0"/>
          <c:showBubbleSize val="0"/>
        </c:dLbls>
        <c:marker val="0"/>
        <c:smooth val="0"/>
        <c:axId val="591472195"/>
        <c:axId val="715343587"/>
      </c:lineChart>
      <c:catAx>
        <c:axId val="1664771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403947"/>
        <c:crosses val="autoZero"/>
        <c:auto val="1"/>
        <c:lblAlgn val="ctr"/>
        <c:lblOffset val="100"/>
        <c:noMultiLvlLbl val="0"/>
      </c:catAx>
      <c:valAx>
        <c:axId val="9794039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477199"/>
        <c:crosses val="autoZero"/>
        <c:crossBetween val="between"/>
      </c:valAx>
      <c:catAx>
        <c:axId val="591472195"/>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343587"/>
        <c:crosses val="autoZero"/>
        <c:auto val="1"/>
        <c:lblAlgn val="ctr"/>
        <c:lblOffset val="100"/>
        <c:noMultiLvlLbl val="0"/>
      </c:catAx>
      <c:valAx>
        <c:axId val="715343587"/>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472195"/>
        <c:crosses val="max"/>
        <c:crossBetween val="between"/>
      </c:valAx>
      <c:spPr>
        <a:noFill/>
        <a:ln>
          <a:noFill/>
        </a:ln>
        <a:effectLst/>
      </c:spPr>
    </c:plotArea>
    <c:legend>
      <c:legendPos val="b"/>
      <c:layout>
        <c:manualLayout>
          <c:xMode val="edge"/>
          <c:yMode val="edge"/>
          <c:x val="0.298245614035088"/>
          <c:y val="0.924262012497307"/>
          <c:w val="0.519842040525668"/>
          <c:h val="0.06280973928032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按行业分组的需求人数</a:t>
            </a:r>
            <a:r>
              <a:rPr altLang="en-US"/>
              <a:t>及占比</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需求人数 (人)</c:v>
                </c:pt>
              </c:strCache>
            </c:strRef>
          </c:tx>
          <c:spPr>
            <a:solidFill>
              <a:schemeClr val="accent1">
                <a:shade val="76667"/>
              </a:schemeClr>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pt idx="18">
                  <c:v>公共管理、社会保障和社会组织</c:v>
                </c:pt>
                <c:pt idx="19">
                  <c:v>国际组织</c:v>
                </c:pt>
              </c:strCache>
            </c:strRef>
          </c:cat>
          <c:val>
            <c:numRef>
              <c:f>Sheet1!$B$2:$B$21</c:f>
              <c:numCache>
                <c:formatCode>#,##0</c:formatCode>
                <c:ptCount val="20"/>
                <c:pt idx="0">
                  <c:v>261</c:v>
                </c:pt>
                <c:pt idx="1">
                  <c:v>441</c:v>
                </c:pt>
                <c:pt idx="2">
                  <c:v>1267</c:v>
                </c:pt>
                <c:pt idx="3">
                  <c:v>404</c:v>
                </c:pt>
                <c:pt idx="4">
                  <c:v>814</c:v>
                </c:pt>
                <c:pt idx="5">
                  <c:v>2588</c:v>
                </c:pt>
                <c:pt idx="6">
                  <c:v>925</c:v>
                </c:pt>
                <c:pt idx="7">
                  <c:v>2877</c:v>
                </c:pt>
                <c:pt idx="8">
                  <c:v>426</c:v>
                </c:pt>
                <c:pt idx="9">
                  <c:v>19</c:v>
                </c:pt>
                <c:pt idx="10">
                  <c:v>109</c:v>
                </c:pt>
                <c:pt idx="11">
                  <c:v>398</c:v>
                </c:pt>
                <c:pt idx="12">
                  <c:v>0</c:v>
                </c:pt>
                <c:pt idx="13">
                  <c:v>103</c:v>
                </c:pt>
                <c:pt idx="14">
                  <c:v>3515</c:v>
                </c:pt>
                <c:pt idx="15">
                  <c:v>672</c:v>
                </c:pt>
                <c:pt idx="16">
                  <c:v>53</c:v>
                </c:pt>
                <c:pt idx="17">
                  <c:v>100</c:v>
                </c:pt>
                <c:pt idx="18">
                  <c:v>59</c:v>
                </c:pt>
                <c:pt idx="19">
                  <c:v>0</c:v>
                </c:pt>
              </c:numCache>
            </c:numRef>
          </c:val>
        </c:ser>
        <c:dLbls>
          <c:showLegendKey val="0"/>
          <c:showVal val="1"/>
          <c:showCatName val="0"/>
          <c:showSerName val="0"/>
          <c:showPercent val="0"/>
          <c:showBubbleSize val="0"/>
        </c:dLbls>
        <c:gapWidth val="219"/>
        <c:overlap val="-27"/>
        <c:axId val="225581312"/>
        <c:axId val="432458621"/>
      </c:barChart>
      <c:lineChart>
        <c:grouping val="standard"/>
        <c:varyColors val="0"/>
        <c:ser>
          <c:idx val="1"/>
          <c:order val="1"/>
          <c:tx>
            <c:strRef>
              <c:f>Sheet1!$C$1</c:f>
              <c:strCache>
                <c:ptCount val="1"/>
                <c:pt idx="0">
                  <c:v>所占比重 (%)</c:v>
                </c:pt>
              </c:strCache>
            </c:strRef>
          </c:tx>
          <c:spPr>
            <a:ln w="28575" cap="rnd">
              <a:solidFill>
                <a:schemeClr val="accent1">
                  <a:tint val="76667"/>
                </a:schemeClr>
              </a:solidFill>
              <a:round/>
            </a:ln>
            <a:effectLst/>
          </c:spPr>
          <c:marker>
            <c:symbol val="none"/>
          </c:marker>
          <c:dLbls>
            <c:dLbl>
              <c:idx val="0"/>
              <c:layout>
                <c:manualLayout>
                  <c:x val="-0.0290972964716664"/>
                  <c:y val="-0.07372818874416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7180387963953"/>
                  <c:y val="-0.062054558859670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13120513212158"/>
                  <c:y val="0.020029491275497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70352833358791"/>
                  <c:y val="-0.068690095846645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06201313578738"/>
                  <c:y val="0.009953305480462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06201313578738"/>
                  <c:y val="-0.005038092897517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26241026424317"/>
                  <c:y val="0.04694028016711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206201313578738"/>
                  <c:y val="0.0133939542885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239804490606385"/>
                  <c:y val="-0.08552469894322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07728730716359"/>
                  <c:y val="-0.0720078643401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04628073926989"/>
                  <c:y val="-0.05369869746866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832442340003055"/>
                  <c:y val="-0.04349963135905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145868336642737"/>
                  <c:y val="-0.065495207667731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0091645028257217"/>
                  <c:y val="0.003440648808060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104628073926989"/>
                  <c:y val="-0.009953305480462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00725523140369635"/>
                  <c:y val="-0.01007618579503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0187108599358485"/>
                  <c:y val="-0.08208405013516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0.00725523140369635"/>
                  <c:y val="-0.06033423445564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0.00526958912478998"/>
                  <c:y val="-0.05529614155812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9"/>
              <c:layout>
                <c:manualLayout>
                  <c:x val="-0.000992821139453185"/>
                  <c:y val="-0.03194888178913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pt idx="18">
                  <c:v>公共管理、社会保障和社会组织</c:v>
                </c:pt>
                <c:pt idx="19">
                  <c:v>国际组织</c:v>
                </c:pt>
              </c:strCache>
            </c:strRef>
          </c:cat>
          <c:val>
            <c:numRef>
              <c:f>Sheet1!$C$2:$C$21</c:f>
              <c:numCache>
                <c:formatCode>#,##0.00</c:formatCode>
                <c:ptCount val="20"/>
                <c:pt idx="0">
                  <c:v>1.74</c:v>
                </c:pt>
                <c:pt idx="1">
                  <c:v>2.93</c:v>
                </c:pt>
                <c:pt idx="2">
                  <c:v>8.43</c:v>
                </c:pt>
                <c:pt idx="3">
                  <c:v>2.69</c:v>
                </c:pt>
                <c:pt idx="4">
                  <c:v>5.42</c:v>
                </c:pt>
                <c:pt idx="5">
                  <c:v>17.22</c:v>
                </c:pt>
                <c:pt idx="6">
                  <c:v>6.15</c:v>
                </c:pt>
                <c:pt idx="7">
                  <c:v>19.14</c:v>
                </c:pt>
                <c:pt idx="8">
                  <c:v>2.83</c:v>
                </c:pt>
                <c:pt idx="9">
                  <c:v>0.13</c:v>
                </c:pt>
                <c:pt idx="10">
                  <c:v>0.73</c:v>
                </c:pt>
                <c:pt idx="11">
                  <c:v>2.65</c:v>
                </c:pt>
                <c:pt idx="12">
                  <c:v>0</c:v>
                </c:pt>
                <c:pt idx="13">
                  <c:v>0.69</c:v>
                </c:pt>
                <c:pt idx="14">
                  <c:v>23.39</c:v>
                </c:pt>
                <c:pt idx="15">
                  <c:v>4.47</c:v>
                </c:pt>
                <c:pt idx="16">
                  <c:v>0.35</c:v>
                </c:pt>
                <c:pt idx="17">
                  <c:v>0.67</c:v>
                </c:pt>
                <c:pt idx="18">
                  <c:v>0.39</c:v>
                </c:pt>
                <c:pt idx="19">
                  <c:v>0</c:v>
                </c:pt>
              </c:numCache>
            </c:numRef>
          </c:val>
          <c:smooth val="0"/>
        </c:ser>
        <c:dLbls>
          <c:showLegendKey val="0"/>
          <c:showVal val="1"/>
          <c:showCatName val="0"/>
          <c:showSerName val="0"/>
          <c:showPercent val="0"/>
          <c:showBubbleSize val="0"/>
        </c:dLbls>
        <c:marker val="0"/>
        <c:smooth val="0"/>
        <c:axId val="323760610"/>
        <c:axId val="382839618"/>
      </c:lineChart>
      <c:catAx>
        <c:axId val="22558131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2458621"/>
        <c:crosses val="autoZero"/>
        <c:auto val="1"/>
        <c:lblAlgn val="ctr"/>
        <c:lblOffset val="100"/>
        <c:noMultiLvlLbl val="0"/>
      </c:catAx>
      <c:valAx>
        <c:axId val="43245862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5581312"/>
        <c:crosses val="autoZero"/>
        <c:crossBetween val="between"/>
      </c:valAx>
      <c:catAx>
        <c:axId val="323760610"/>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2839618"/>
        <c:crosses val="autoZero"/>
        <c:auto val="1"/>
        <c:lblAlgn val="ctr"/>
        <c:lblOffset val="100"/>
        <c:noMultiLvlLbl val="0"/>
      </c:catAx>
      <c:valAx>
        <c:axId val="382839618"/>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376061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其中企业分组的需求人数</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74300508550517"/>
          <c:y val="0.147431059506531"/>
          <c:w val="0.825686632066208"/>
          <c:h val="0.636761812610869"/>
        </c:manualLayout>
      </c:layout>
      <c:pie3DChart>
        <c:varyColors val="1"/>
        <c:ser>
          <c:idx val="0"/>
          <c:order val="0"/>
          <c:tx>
            <c:strRef>
              <c:f>Sheet1!$B$1</c:f>
              <c:strCache>
                <c:ptCount val="1"/>
                <c:pt idx="0">
                  <c:v>需求人数</c:v>
                </c:pt>
              </c:strCache>
            </c:strRef>
          </c:tx>
          <c:spPr>
            <a:scene3d>
              <a:camera prst="orthographicFront"/>
              <a:lightRig rig="threePt" dir="t"/>
            </a:scene3d>
            <a:sp3d contourW="25400"/>
          </c:spPr>
          <c:explosion val="0"/>
          <c:dPt>
            <c:idx val="0"/>
            <c:bubble3D val="0"/>
            <c:spPr>
              <a:solidFill>
                <a:schemeClr val="accent1">
                  <a:shade val="45556"/>
                </a:schemeClr>
              </a:solidFill>
              <a:ln w="25400">
                <a:solidFill>
                  <a:schemeClr val="lt1"/>
                </a:solidFill>
              </a:ln>
              <a:effectLst/>
              <a:scene3d>
                <a:camera prst="orthographicFront"/>
                <a:lightRig rig="threePt" dir="t"/>
              </a:scene3d>
              <a:sp3d contourW="25400"/>
            </c:spPr>
          </c:dPt>
          <c:dPt>
            <c:idx val="1"/>
            <c:bubble3D val="0"/>
            <c:spPr>
              <a:solidFill>
                <a:schemeClr val="accent1">
                  <a:shade val="61111"/>
                </a:schemeClr>
              </a:solidFill>
              <a:ln w="25400">
                <a:solidFill>
                  <a:schemeClr val="lt1"/>
                </a:solidFill>
              </a:ln>
              <a:effectLst/>
              <a:scene3d>
                <a:camera prst="orthographicFront"/>
                <a:lightRig rig="threePt" dir="t"/>
              </a:scene3d>
              <a:sp3d contourW="25400"/>
            </c:spPr>
          </c:dPt>
          <c:dPt>
            <c:idx val="2"/>
            <c:bubble3D val="0"/>
            <c:spPr>
              <a:solidFill>
                <a:schemeClr val="accent1">
                  <a:shade val="76667"/>
                </a:schemeClr>
              </a:solidFill>
              <a:ln w="25400">
                <a:solidFill>
                  <a:schemeClr val="lt1"/>
                </a:solidFill>
              </a:ln>
              <a:effectLst/>
              <a:scene3d>
                <a:camera prst="orthographicFront"/>
                <a:lightRig rig="threePt" dir="t"/>
              </a:scene3d>
              <a:sp3d contourW="25400"/>
            </c:spPr>
          </c:dPt>
          <c:dPt>
            <c:idx val="3"/>
            <c:bubble3D val="0"/>
            <c:spPr>
              <a:solidFill>
                <a:schemeClr val="accent1">
                  <a:shade val="92222"/>
                </a:schemeClr>
              </a:solidFill>
              <a:ln w="25400">
                <a:solidFill>
                  <a:schemeClr val="lt1"/>
                </a:solidFill>
              </a:ln>
              <a:effectLst/>
              <a:scene3d>
                <a:camera prst="orthographicFront"/>
                <a:lightRig rig="threePt" dir="t"/>
              </a:scene3d>
              <a:sp3d contourW="25400"/>
            </c:spPr>
          </c:dPt>
          <c:dPt>
            <c:idx val="4"/>
            <c:bubble3D val="0"/>
            <c:spPr>
              <a:solidFill>
                <a:schemeClr val="accent1">
                  <a:tint val="92222"/>
                </a:schemeClr>
              </a:solidFill>
              <a:ln w="25400">
                <a:solidFill>
                  <a:schemeClr val="lt1"/>
                </a:solidFill>
              </a:ln>
              <a:effectLst/>
              <a:scene3d>
                <a:camera prst="orthographicFront"/>
                <a:lightRig rig="threePt" dir="t"/>
              </a:scene3d>
              <a:sp3d contourW="25400"/>
            </c:spPr>
          </c:dPt>
          <c:dPt>
            <c:idx val="5"/>
            <c:bubble3D val="0"/>
            <c:spPr>
              <a:solidFill>
                <a:schemeClr val="accent1">
                  <a:tint val="76667"/>
                </a:schemeClr>
              </a:solidFill>
              <a:ln w="25400">
                <a:solidFill>
                  <a:schemeClr val="lt1"/>
                </a:solidFill>
              </a:ln>
              <a:effectLst/>
              <a:scene3d>
                <a:camera prst="orthographicFront"/>
                <a:lightRig rig="threePt" dir="t"/>
              </a:scene3d>
              <a:sp3d contourW="25400"/>
            </c:spPr>
          </c:dPt>
          <c:dPt>
            <c:idx val="6"/>
            <c:bubble3D val="0"/>
            <c:spPr>
              <a:solidFill>
                <a:schemeClr val="accent1">
                  <a:tint val="61111"/>
                </a:schemeClr>
              </a:solidFill>
              <a:ln w="25400">
                <a:solidFill>
                  <a:schemeClr val="lt1"/>
                </a:solidFill>
              </a:ln>
              <a:effectLst/>
              <a:scene3d>
                <a:camera prst="orthographicFront"/>
                <a:lightRig rig="threePt" dir="t"/>
              </a:scene3d>
              <a:sp3d contourW="25400"/>
            </c:spPr>
          </c:dPt>
          <c:dPt>
            <c:idx val="7"/>
            <c:bubble3D val="0"/>
            <c:spPr>
              <a:solidFill>
                <a:schemeClr val="accent1">
                  <a:tint val="45556"/>
                </a:schemeClr>
              </a:solidFill>
              <a:ln w="25400">
                <a:solidFill>
                  <a:schemeClr val="lt1"/>
                </a:solidFill>
              </a:ln>
              <a:effectLst/>
              <a:scene3d>
                <a:camera prst="orthographicFront"/>
                <a:lightRig rig="threePt" dir="t"/>
              </a:scene3d>
              <a:sp3d contourW="25400"/>
            </c:spPr>
          </c:dPt>
          <c:dLbls>
            <c:dLbl>
              <c:idx val="0"/>
              <c:layout>
                <c:manualLayout>
                  <c:x val="-0.0933269212499519"/>
                  <c:y val="-0.042422674525873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43633618520382"/>
                  <c:y val="-0.019890601690701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34946486738018"/>
                      <c:h val="0.0456629728696981"/>
                    </c:manualLayout>
                  </c15:layout>
                </c:ext>
              </c:extLst>
            </c:dLbl>
            <c:dLbl>
              <c:idx val="2"/>
              <c:layout>
                <c:manualLayout>
                  <c:x val="0.0339708102667338"/>
                  <c:y val="-0.047240179015415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2415702063412"/>
                      <c:h val="0.0681253107906514"/>
                    </c:manualLayout>
                  </c15:layout>
                </c:ext>
              </c:extLst>
            </c:dLbl>
            <c:dLbl>
              <c:idx val="5"/>
              <c:layout>
                <c:manualLayout>
                  <c:x val="0.0075244126743338"/>
                  <c:y val="-0.27598114821981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        国有企业</c:v>
                </c:pt>
                <c:pt idx="1">
                  <c:v>        集体企业</c:v>
                </c:pt>
                <c:pt idx="2">
                  <c:v>        股份合作企业</c:v>
                </c:pt>
                <c:pt idx="3">
                  <c:v>        有限责任公司</c:v>
                </c:pt>
                <c:pt idx="4">
                  <c:v>        股份有限公司</c:v>
                </c:pt>
                <c:pt idx="5">
                  <c:v>        私营企业</c:v>
                </c:pt>
                <c:pt idx="6">
                  <c:v>        其它企业</c:v>
                </c:pt>
                <c:pt idx="7">
                  <c:v>     个体经营</c:v>
                </c:pt>
              </c:strCache>
            </c:strRef>
          </c:cat>
          <c:val>
            <c:numRef>
              <c:f>Sheet1!$B$2:$B$9</c:f>
              <c:numCache>
                <c:formatCode>#,##0</c:formatCode>
                <c:ptCount val="8"/>
                <c:pt idx="0">
                  <c:v>1176</c:v>
                </c:pt>
                <c:pt idx="1">
                  <c:v>13</c:v>
                </c:pt>
                <c:pt idx="2">
                  <c:v>60</c:v>
                </c:pt>
                <c:pt idx="3">
                  <c:v>4283</c:v>
                </c:pt>
                <c:pt idx="4">
                  <c:v>635</c:v>
                </c:pt>
                <c:pt idx="5">
                  <c:v>4322</c:v>
                </c:pt>
                <c:pt idx="6">
                  <c:v>131</c:v>
                </c:pt>
                <c:pt idx="7">
                  <c:v>4124</c:v>
                </c:pt>
              </c:numCache>
            </c:numRef>
          </c:val>
        </c:ser>
        <c:dLbls>
          <c:showLegendKey val="0"/>
          <c:showVal val="1"/>
          <c:showCatName val="0"/>
          <c:showSerName val="0"/>
          <c:showPercent val="0"/>
          <c:showBubbleSize val="0"/>
        </c:dLbls>
      </c:pie3DChart>
      <c:spPr>
        <a:noFill/>
        <a:ln>
          <a:noFill/>
        </a:ln>
        <a:effectLst/>
      </c:spPr>
    </c:plotArea>
    <c:legend>
      <c:legendPos val="b"/>
      <c:layout>
        <c:manualLayout>
          <c:xMode val="edge"/>
          <c:yMode val="edge"/>
          <c:x val="0.0269491100526448"/>
          <c:y val="0.796928051738076"/>
          <c:w val="0.969290549009777"/>
          <c:h val="0.1982215036378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932142185442919"/>
          <c:y val="0.20719504782091"/>
          <c:w val="0.807176979499718"/>
          <c:h val="0.60049579459938"/>
        </c:manualLayout>
      </c:layout>
      <c:pie3DChart>
        <c:varyColors val="1"/>
        <c:ser>
          <c:idx val="0"/>
          <c:order val="0"/>
          <c:tx>
            <c:strRef>
              <c:f>Sheet1!$B$1</c:f>
              <c:strCache>
                <c:ptCount val="1"/>
                <c:pt idx="0">
                  <c:v>需求人数</c:v>
                </c:pt>
              </c:strCache>
            </c:strRef>
          </c:tx>
          <c:spPr>
            <a:scene3d>
              <a:camera prst="orthographicFront"/>
              <a:lightRig rig="threePt" dir="t"/>
            </a:scene3d>
            <a:sp3d contourW="25400"/>
          </c:spPr>
          <c:explosion val="0"/>
          <c:dPt>
            <c:idx val="0"/>
            <c:bubble3D val="0"/>
            <c:spPr>
              <a:solidFill>
                <a:schemeClr val="accent1">
                  <a:shade val="58000"/>
                </a:schemeClr>
              </a:solidFill>
              <a:ln w="25400">
                <a:solidFill>
                  <a:schemeClr val="lt1"/>
                </a:solidFill>
              </a:ln>
              <a:effectLst/>
            </c:spPr>
          </c:dPt>
          <c:dPt>
            <c:idx val="1"/>
            <c:bubble3D val="0"/>
            <c:spPr>
              <a:solidFill>
                <a:schemeClr val="accent1">
                  <a:shade val="86000"/>
                </a:schemeClr>
              </a:solidFill>
              <a:ln w="25400">
                <a:solidFill>
                  <a:schemeClr val="lt1"/>
                </a:solidFill>
              </a:ln>
              <a:effectLst/>
            </c:spPr>
          </c:dPt>
          <c:dPt>
            <c:idx val="2"/>
            <c:bubble3D val="0"/>
            <c:spPr>
              <a:solidFill>
                <a:schemeClr val="accent1">
                  <a:tint val="86000"/>
                </a:schemeClr>
              </a:solidFill>
              <a:ln w="25400">
                <a:solidFill>
                  <a:schemeClr val="lt1"/>
                </a:solidFill>
              </a:ln>
              <a:effectLst/>
            </c:spPr>
          </c:dPt>
          <c:dPt>
            <c:idx val="3"/>
            <c:bubble3D val="0"/>
            <c:spPr>
              <a:solidFill>
                <a:schemeClr val="accent1">
                  <a:tint val="58000"/>
                </a:schemeClr>
              </a:solidFill>
              <a:ln w="25400">
                <a:solidFill>
                  <a:schemeClr val="lt1"/>
                </a:solidFill>
              </a:ln>
              <a:effectLst/>
            </c:spPr>
          </c:dPt>
          <c:dLbls>
            <c:dLbl>
              <c:idx val="0"/>
              <c:layout>
                <c:manualLayout>
                  <c:x val="-0.0517828649873942"/>
                  <c:y val="-0.2750143337247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10244648318043"/>
                  <c:y val="-0.024065458045884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35168195718654"/>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39421326563756"/>
                  <c:y val="-0.011657423867581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企业</c:v>
                </c:pt>
                <c:pt idx="1">
                  <c:v>事业</c:v>
                </c:pt>
                <c:pt idx="2">
                  <c:v>机关</c:v>
                </c:pt>
                <c:pt idx="3">
                  <c:v>其他</c:v>
                </c:pt>
              </c:strCache>
            </c:strRef>
          </c:cat>
          <c:val>
            <c:numRef>
              <c:f>Sheet1!$B$2:$B$5</c:f>
              <c:numCache>
                <c:formatCode>#,##0</c:formatCode>
                <c:ptCount val="4"/>
                <c:pt idx="0">
                  <c:v>14756</c:v>
                </c:pt>
                <c:pt idx="1" c:formatCode="General">
                  <c:v>13</c:v>
                </c:pt>
                <c:pt idx="2" c:formatCode="General">
                  <c:v>0</c:v>
                </c:pt>
                <c:pt idx="3" c:formatCode="General">
                  <c:v>262</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按职业分组的供求人数</a:t>
            </a:r>
          </a:p>
        </c:rich>
      </c:tx>
      <c:layout/>
      <c:overlay val="0"/>
      <c:spPr>
        <a:noFill/>
        <a:ln>
          <a:noFill/>
        </a:ln>
        <a:effectLst/>
      </c:spPr>
    </c:title>
    <c:autoTitleDeleted val="0"/>
    <c:plotArea>
      <c:layout>
        <c:manualLayout>
          <c:layoutTarget val="inner"/>
          <c:xMode val="edge"/>
          <c:yMode val="edge"/>
          <c:x val="0.0546899490445502"/>
          <c:y val="0.133385114449173"/>
          <c:w val="0.897166874221669"/>
          <c:h val="0.56629798308393"/>
        </c:manualLayout>
      </c:layout>
      <c:barChart>
        <c:barDir val="col"/>
        <c:grouping val="clustered"/>
        <c:varyColors val="0"/>
        <c:ser>
          <c:idx val="0"/>
          <c:order val="0"/>
          <c:tx>
            <c:strRef>
              <c:f>Sheet1!$B$1</c:f>
              <c:strCache>
                <c:ptCount val="1"/>
                <c:pt idx="0">
                  <c:v>需求 人数(人)</c:v>
                </c:pt>
              </c:strCache>
            </c:strRef>
          </c:tx>
          <c:spPr>
            <a:solidFill>
              <a:schemeClr val="accent1">
                <a:shade val="58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Sheet1!$B$2:$B$9</c:f>
              <c:numCache>
                <c:formatCode>#,##0</c:formatCode>
                <c:ptCount val="8"/>
                <c:pt idx="0">
                  <c:v>108</c:v>
                </c:pt>
                <c:pt idx="1">
                  <c:v>1471</c:v>
                </c:pt>
                <c:pt idx="2">
                  <c:v>6952</c:v>
                </c:pt>
                <c:pt idx="3">
                  <c:v>2978</c:v>
                </c:pt>
                <c:pt idx="4">
                  <c:v>113</c:v>
                </c:pt>
                <c:pt idx="5">
                  <c:v>1921</c:v>
                </c:pt>
                <c:pt idx="6">
                  <c:v>1488</c:v>
                </c:pt>
              </c:numCache>
            </c:numRef>
          </c:val>
        </c:ser>
        <c:ser>
          <c:idx val="1"/>
          <c:order val="1"/>
          <c:tx>
            <c:strRef>
              <c:f>Sheet1!$C$1</c:f>
              <c:strCache>
                <c:ptCount val="1"/>
                <c:pt idx="0">
                  <c:v>求职 人数(人)</c:v>
                </c:pt>
              </c:strCache>
            </c:strRef>
          </c:tx>
          <c:spPr>
            <a:solidFill>
              <a:schemeClr val="accent1">
                <a:shade val="86000"/>
              </a:schemeClr>
            </a:solidFill>
            <a:ln>
              <a:noFill/>
            </a:ln>
            <a:effectLst/>
          </c:spPr>
          <c:invertIfNegative val="0"/>
          <c:dLbls>
            <c:dLbl>
              <c:idx val="3"/>
              <c:layout>
                <c:manualLayout>
                  <c:x val="0.00372856077554064"/>
                  <c:y val="0.0326285565126599"/>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Sheet1!$C$2:$C$9</c:f>
              <c:numCache>
                <c:formatCode>#,##0</c:formatCode>
                <c:ptCount val="8"/>
                <c:pt idx="0">
                  <c:v>6</c:v>
                </c:pt>
                <c:pt idx="1">
                  <c:v>916</c:v>
                </c:pt>
                <c:pt idx="2">
                  <c:v>3672</c:v>
                </c:pt>
                <c:pt idx="3">
                  <c:v>3125</c:v>
                </c:pt>
                <c:pt idx="4">
                  <c:v>271</c:v>
                </c:pt>
                <c:pt idx="5">
                  <c:v>1418</c:v>
                </c:pt>
                <c:pt idx="6">
                  <c:v>1211</c:v>
                </c:pt>
                <c:pt idx="7">
                  <c:v>1078</c:v>
                </c:pt>
              </c:numCache>
            </c:numRef>
          </c:val>
        </c:ser>
        <c:dLbls>
          <c:showLegendKey val="0"/>
          <c:showVal val="1"/>
          <c:showCatName val="0"/>
          <c:showSerName val="0"/>
          <c:showPercent val="0"/>
          <c:showBubbleSize val="0"/>
        </c:dLbls>
        <c:gapWidth val="219"/>
        <c:overlap val="-27"/>
        <c:axId val="947187043"/>
        <c:axId val="458235469"/>
      </c:barChart>
      <c:lineChart>
        <c:grouping val="standard"/>
        <c:varyColors val="0"/>
        <c:ser>
          <c:idx val="2"/>
          <c:order val="2"/>
          <c:tx>
            <c:strRef>
              <c:f>Sheet1!$D$1</c:f>
              <c:strCache>
                <c:ptCount val="1"/>
                <c:pt idx="0">
                  <c:v>需求 比重 (%)</c:v>
                </c:pt>
              </c:strCache>
            </c:strRef>
          </c:tx>
          <c:spPr>
            <a:ln w="28575" cap="rnd">
              <a:solidFill>
                <a:schemeClr val="accent1">
                  <a:tint val="86000"/>
                </a:schemeClr>
              </a:solidFill>
              <a:round/>
            </a:ln>
            <a:effectLst/>
          </c:spPr>
          <c:marker>
            <c:symbol val="circle"/>
            <c:size val="5"/>
            <c:spPr>
              <a:solidFill>
                <a:schemeClr val="accent1">
                  <a:tint val="86000"/>
                </a:schemeClr>
              </a:solidFill>
              <a:ln w="9525">
                <a:solidFill>
                  <a:schemeClr val="accent1">
                    <a:tint val="86000"/>
                  </a:schemeClr>
                </a:solidFill>
              </a:ln>
              <a:effectLst/>
            </c:spPr>
          </c:marker>
          <c:dLbls>
            <c:dLbl>
              <c:idx val="0"/>
              <c:layout>
                <c:manualLayout>
                  <c:x val="0.000886559175226191"/>
                  <c:y val="-0.08204703219342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6241610738255"/>
                  <c:y val="-0.0430696945967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72769305085914"/>
                  <c:y val="-0.0007732035063264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936570086139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2653809500211"/>
                  <c:y val="-0.0947380748007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14152470167012"/>
                  <c:y val="-0.062954929005263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447427293064877"/>
                  <c:y val="-0.04111198120595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Sheet1!$D$2:$D$9</c:f>
              <c:numCache>
                <c:formatCode>#,##0.00</c:formatCode>
                <c:ptCount val="8"/>
                <c:pt idx="0">
                  <c:v>0.72</c:v>
                </c:pt>
                <c:pt idx="1">
                  <c:v>9.79</c:v>
                </c:pt>
                <c:pt idx="2">
                  <c:v>46.25</c:v>
                </c:pt>
                <c:pt idx="3">
                  <c:v>19.81</c:v>
                </c:pt>
                <c:pt idx="4">
                  <c:v>0.75</c:v>
                </c:pt>
                <c:pt idx="5">
                  <c:v>12.78</c:v>
                </c:pt>
                <c:pt idx="6">
                  <c:v>9.9</c:v>
                </c:pt>
              </c:numCache>
            </c:numRef>
          </c:val>
          <c:smooth val="0"/>
        </c:ser>
        <c:ser>
          <c:idx val="3"/>
          <c:order val="3"/>
          <c:tx>
            <c:strRef>
              <c:f>Sheet1!$E$1</c:f>
              <c:strCache>
                <c:ptCount val="1"/>
                <c:pt idx="0">
                  <c:v>求职 比重 (%)</c:v>
                </c:pt>
              </c:strCache>
            </c:strRef>
          </c:tx>
          <c:spPr>
            <a:ln w="28575" cap="rnd">
              <a:solidFill>
                <a:schemeClr val="accent1">
                  <a:tint val="58000"/>
                </a:schemeClr>
              </a:solidFill>
              <a:round/>
            </a:ln>
            <a:effectLst/>
          </c:spPr>
          <c:marker>
            <c:symbol val="circle"/>
            <c:size val="5"/>
            <c:spPr>
              <a:solidFill>
                <a:schemeClr val="accent1">
                  <a:tint val="58000"/>
                </a:schemeClr>
              </a:solidFill>
              <a:ln w="9525">
                <a:solidFill>
                  <a:schemeClr val="accent1">
                    <a:tint val="58000"/>
                  </a:schemeClr>
                </a:solidFill>
              </a:ln>
              <a:effectLst/>
            </c:spPr>
          </c:marker>
          <c:dLbls>
            <c:dLbl>
              <c:idx val="0"/>
              <c:layout>
                <c:manualLayout>
                  <c:x val="-0.0494099786074115"/>
                  <c:y val="-0.052361503822389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9284116331096"/>
                  <c:y val="-0.01957713390759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72868587568897"/>
                  <c:y val="-0.047641546840009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64992064039749"/>
                  <c:y val="-0.057597654204628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41025464081154"/>
                  <c:y val="-0.0396701331868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685629348175738"/>
                  <c:y val="-0.047109608085829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Sheet1!$E$2:$E$9</c:f>
              <c:numCache>
                <c:formatCode>#,##0.00</c:formatCode>
                <c:ptCount val="8"/>
                <c:pt idx="0">
                  <c:v>0.05</c:v>
                </c:pt>
                <c:pt idx="1">
                  <c:v>7.83</c:v>
                </c:pt>
                <c:pt idx="2">
                  <c:v>31.39</c:v>
                </c:pt>
                <c:pt idx="3">
                  <c:v>26.72</c:v>
                </c:pt>
                <c:pt idx="4">
                  <c:v>2.32</c:v>
                </c:pt>
                <c:pt idx="5">
                  <c:v>12.12</c:v>
                </c:pt>
                <c:pt idx="6">
                  <c:v>10.35</c:v>
                </c:pt>
                <c:pt idx="7">
                  <c:v>9.22</c:v>
                </c:pt>
              </c:numCache>
            </c:numRef>
          </c:val>
          <c:smooth val="0"/>
        </c:ser>
        <c:dLbls>
          <c:showLegendKey val="0"/>
          <c:showVal val="1"/>
          <c:showCatName val="0"/>
          <c:showSerName val="0"/>
          <c:showPercent val="0"/>
          <c:showBubbleSize val="0"/>
        </c:dLbls>
        <c:marker val="1"/>
        <c:smooth val="0"/>
        <c:axId val="488026430"/>
        <c:axId val="464101521"/>
      </c:lineChart>
      <c:catAx>
        <c:axId val="9471870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8235469"/>
        <c:crosses val="autoZero"/>
        <c:auto val="1"/>
        <c:lblAlgn val="ctr"/>
        <c:lblOffset val="100"/>
        <c:noMultiLvlLbl val="0"/>
      </c:catAx>
      <c:valAx>
        <c:axId val="45823546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187043"/>
        <c:crosses val="autoZero"/>
        <c:crossBetween val="between"/>
      </c:valAx>
      <c:catAx>
        <c:axId val="48802643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4101521"/>
        <c:crosses val="autoZero"/>
        <c:auto val="1"/>
        <c:lblAlgn val="ctr"/>
        <c:lblOffset val="100"/>
        <c:noMultiLvlLbl val="0"/>
      </c:catAx>
      <c:valAx>
        <c:axId val="464101521"/>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026430"/>
        <c:crosses val="max"/>
        <c:crossBetween val="between"/>
      </c:valAx>
      <c:spPr>
        <a:noFill/>
        <a:ln>
          <a:noFill/>
        </a:ln>
        <a:effectLst/>
      </c:spPr>
    </c:plotArea>
    <c:legend>
      <c:legendPos val="b"/>
      <c:layout>
        <c:manualLayout>
          <c:xMode val="edge"/>
          <c:yMode val="edge"/>
          <c:x val="0.281071009592161"/>
          <c:y val="0.890675756292153"/>
          <c:w val="0.533158512179974"/>
          <c:h val="0.08409257513875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按求职人员类别分组的求职人数及占比</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求职人数(人)</c:v>
                </c:pt>
              </c:strCache>
            </c:strRef>
          </c:tx>
          <c:spPr>
            <a:solidFill>
              <a:schemeClr val="accent1">
                <a:shade val="76667"/>
              </a:schemeClr>
            </a:solidFill>
            <a:ln>
              <a:noFill/>
            </a:ln>
            <a:effectLst/>
          </c:spPr>
          <c:invertIfNegative val="0"/>
          <c:dLbls>
            <c:dLbl>
              <c:idx val="3"/>
              <c:layout>
                <c:manualLayout>
                  <c:x val="0"/>
                  <c:y val="0.00695007529248234"/>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新成长失业青年 </c:v>
                </c:pt>
                <c:pt idx="1">
                  <c:v>其中：应届高校毕业生</c:v>
                </c:pt>
                <c:pt idx="2">
                  <c:v>失业人员</c:v>
                </c:pt>
                <c:pt idx="3">
                  <c:v>在业人员</c:v>
                </c:pt>
                <c:pt idx="4">
                  <c:v>退休人员</c:v>
                </c:pt>
                <c:pt idx="5">
                  <c:v>在学人员</c:v>
                </c:pt>
                <c:pt idx="6">
                  <c:v>本市农村求职人员</c:v>
                </c:pt>
                <c:pt idx="7">
                  <c:v>外地户籍求职人员</c:v>
                </c:pt>
              </c:strCache>
            </c:strRef>
          </c:cat>
          <c:val>
            <c:numRef>
              <c:f>Sheet1!$B$2:$B$9</c:f>
              <c:numCache>
                <c:formatCode>#,##0</c:formatCode>
                <c:ptCount val="8"/>
                <c:pt idx="0">
                  <c:v>2747</c:v>
                </c:pt>
                <c:pt idx="1">
                  <c:v>1154</c:v>
                </c:pt>
                <c:pt idx="2">
                  <c:v>5184</c:v>
                </c:pt>
                <c:pt idx="3">
                  <c:v>520</c:v>
                </c:pt>
                <c:pt idx="4">
                  <c:v>794</c:v>
                </c:pt>
                <c:pt idx="5">
                  <c:v>641</c:v>
                </c:pt>
                <c:pt idx="6">
                  <c:v>563</c:v>
                </c:pt>
                <c:pt idx="7">
                  <c:v>1248</c:v>
                </c:pt>
              </c:numCache>
            </c:numRef>
          </c:val>
        </c:ser>
        <c:dLbls>
          <c:showLegendKey val="0"/>
          <c:showVal val="1"/>
          <c:showCatName val="0"/>
          <c:showSerName val="0"/>
          <c:showPercent val="0"/>
          <c:showBubbleSize val="0"/>
        </c:dLbls>
        <c:gapWidth val="219"/>
        <c:overlap val="-27"/>
        <c:axId val="685628675"/>
        <c:axId val="839787285"/>
      </c:barChart>
      <c:lineChart>
        <c:grouping val="standard"/>
        <c:varyColors val="0"/>
        <c:ser>
          <c:idx val="1"/>
          <c:order val="1"/>
          <c:tx>
            <c:strRef>
              <c:f>Sheet1!$C$1</c:f>
              <c:strCache>
                <c:ptCount val="1"/>
                <c:pt idx="0">
                  <c:v>所占比重(%)</c:v>
                </c:pt>
              </c:strCache>
            </c:strRef>
          </c:tx>
          <c:spPr>
            <a:ln w="28575" cap="rnd">
              <a:solidFill>
                <a:schemeClr val="accent1">
                  <a:tint val="76667"/>
                </a:schemeClr>
              </a:solidFill>
              <a:round/>
            </a:ln>
            <a:effectLst/>
          </c:spPr>
          <c:marker>
            <c:symbol val="none"/>
          </c:marker>
          <c:dLbls>
            <c:dLbl>
              <c:idx val="0"/>
              <c:layout>
                <c:manualLayout>
                  <c:x val="-0.0281535934933917"/>
                  <c:y val="-0.03127533881617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7306639555799"/>
                  <c:y val="0.038225414108652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703839837334793"/>
                  <c:y val="-0.02258774470056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03839837334793"/>
                  <c:y val="-0.043437970578014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17306639555799"/>
                  <c:y val="-0.03127533881617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34613279111598"/>
                  <c:y val="-0.06255067763234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0767967466959"/>
                  <c:y val="-0.050388045870496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17306639555799"/>
                  <c:y val="-0.043437970578014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新成长失业青年 </c:v>
                </c:pt>
                <c:pt idx="1">
                  <c:v>其中：应届高校毕业生</c:v>
                </c:pt>
                <c:pt idx="2">
                  <c:v>失业人员</c:v>
                </c:pt>
                <c:pt idx="3">
                  <c:v>在业人员</c:v>
                </c:pt>
                <c:pt idx="4">
                  <c:v>退休人员</c:v>
                </c:pt>
                <c:pt idx="5">
                  <c:v>在学人员</c:v>
                </c:pt>
                <c:pt idx="6">
                  <c:v>本市农村求职人员</c:v>
                </c:pt>
                <c:pt idx="7">
                  <c:v>外地户籍求职人员</c:v>
                </c:pt>
              </c:strCache>
            </c:strRef>
          </c:cat>
          <c:val>
            <c:numRef>
              <c:f>Sheet1!$C$2:$C$9</c:f>
              <c:numCache>
                <c:formatCode>#,##0.00</c:formatCode>
                <c:ptCount val="8"/>
                <c:pt idx="0">
                  <c:v>23.48</c:v>
                </c:pt>
                <c:pt idx="1">
                  <c:v>42.01</c:v>
                </c:pt>
                <c:pt idx="2">
                  <c:v>44.32</c:v>
                </c:pt>
                <c:pt idx="3">
                  <c:v>4.45</c:v>
                </c:pt>
                <c:pt idx="4">
                  <c:v>6.79</c:v>
                </c:pt>
                <c:pt idx="5">
                  <c:v>5.48</c:v>
                </c:pt>
                <c:pt idx="6">
                  <c:v>4.81</c:v>
                </c:pt>
                <c:pt idx="7">
                  <c:v>10.67</c:v>
                </c:pt>
              </c:numCache>
            </c:numRef>
          </c:val>
          <c:smooth val="0"/>
        </c:ser>
        <c:dLbls>
          <c:showLegendKey val="0"/>
          <c:showVal val="1"/>
          <c:showCatName val="0"/>
          <c:showSerName val="0"/>
          <c:showPercent val="0"/>
          <c:showBubbleSize val="0"/>
        </c:dLbls>
        <c:marker val="0"/>
        <c:smooth val="0"/>
        <c:axId val="256367329"/>
        <c:axId val="484297088"/>
      </c:lineChart>
      <c:catAx>
        <c:axId val="6856286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9787285"/>
        <c:crosses val="autoZero"/>
        <c:auto val="1"/>
        <c:lblAlgn val="ctr"/>
        <c:lblOffset val="100"/>
        <c:noMultiLvlLbl val="0"/>
      </c:catAx>
      <c:valAx>
        <c:axId val="83978728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5628675"/>
        <c:crosses val="autoZero"/>
        <c:crossBetween val="between"/>
      </c:valAx>
      <c:catAx>
        <c:axId val="25636732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4297088"/>
        <c:crosses val="autoZero"/>
        <c:auto val="1"/>
        <c:lblAlgn val="ctr"/>
        <c:lblOffset val="100"/>
        <c:noMultiLvlLbl val="0"/>
      </c:catAx>
      <c:valAx>
        <c:axId val="484297088"/>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367329"/>
        <c:crosses val="max"/>
        <c:crossBetween val="between"/>
      </c:valAx>
      <c:spPr>
        <a:noFill/>
        <a:ln>
          <a:noFill/>
        </a:ln>
        <a:effectLst/>
      </c:spPr>
    </c:plotArea>
    <c:legend>
      <c:legendPos val="b"/>
      <c:layout>
        <c:manualLayout>
          <c:xMode val="edge"/>
          <c:yMode val="edge"/>
          <c:x val="0.295080718854706"/>
          <c:y val="0.907678551469766"/>
          <c:w val="0.465808711544319"/>
          <c:h val="0.078909131552475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按性别分组的供求人数</a:t>
            </a:r>
          </a:p>
        </c:rich>
      </c:tx>
      <c:layout>
        <c:manualLayout>
          <c:xMode val="edge"/>
          <c:yMode val="edge"/>
          <c:x val="0.320640533411489"/>
          <c:y val="0.0305300105300105"/>
        </c:manualLayout>
      </c:layout>
      <c:overlay val="0"/>
      <c:spPr>
        <a:noFill/>
        <a:ln>
          <a:noFill/>
        </a:ln>
        <a:effectLst/>
      </c:spPr>
    </c:title>
    <c:autoTitleDeleted val="0"/>
    <c:plotArea>
      <c:layout>
        <c:manualLayout>
          <c:layoutTarget val="inner"/>
          <c:xMode val="edge"/>
          <c:yMode val="edge"/>
          <c:x val="0.0708792497069168"/>
          <c:y val="0.12702533052533"/>
          <c:w val="0.86535"/>
          <c:h val="0.7169"/>
        </c:manualLayout>
      </c:layout>
      <c:barChart>
        <c:barDir val="col"/>
        <c:grouping val="clustered"/>
        <c:varyColors val="0"/>
        <c:ser>
          <c:idx val="0"/>
          <c:order val="0"/>
          <c:tx>
            <c:strRef>
              <c:f>Sheet1!$B$1</c:f>
              <c:strCache>
                <c:ptCount val="1"/>
                <c:pt idx="0">
                  <c:v>求职 人数(人)</c:v>
                </c:pt>
              </c:strCache>
            </c:strRef>
          </c:tx>
          <c:spPr>
            <a:solidFill>
              <a:schemeClr val="accent1">
                <a:shade val="6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c:v>
                </c:pt>
                <c:pt idx="1">
                  <c:v>女</c:v>
                </c:pt>
              </c:strCache>
            </c:strRef>
          </c:cat>
          <c:val>
            <c:numRef>
              <c:f>Sheet1!$B$2:$B$3</c:f>
              <c:numCache>
                <c:formatCode>#,##0</c:formatCode>
                <c:ptCount val="2"/>
                <c:pt idx="0">
                  <c:v>6404</c:v>
                </c:pt>
                <c:pt idx="1">
                  <c:v>5293</c:v>
                </c:pt>
              </c:numCache>
            </c:numRef>
          </c:val>
        </c:ser>
        <c:dLbls>
          <c:showLegendKey val="0"/>
          <c:showVal val="1"/>
          <c:showCatName val="0"/>
          <c:showSerName val="0"/>
          <c:showPercent val="0"/>
          <c:showBubbleSize val="0"/>
        </c:dLbls>
        <c:gapWidth val="150"/>
        <c:overlap val="0"/>
        <c:axId val="613521406"/>
        <c:axId val="629906716"/>
      </c:barChart>
      <c:lineChart>
        <c:grouping val="standard"/>
        <c:varyColors val="0"/>
        <c:ser>
          <c:idx val="2"/>
          <c:order val="2"/>
          <c:tx>
            <c:strRef>
              <c:f>Sheet1!#REF!</c:f>
              <c:strCache>
                <c:ptCount val="1"/>
                <c:pt idx="0">
                  <c:v/>
                </c:pt>
              </c:strCache>
            </c:strRef>
          </c:tx>
          <c:spPr>
            <a:ln w="28575" cap="rnd">
              <a:solidFill>
                <a:schemeClr val="accent1">
                  <a:tint val="65000"/>
                </a:schemeClr>
              </a:solidFill>
              <a:round/>
            </a:ln>
            <a:effectLst/>
          </c:spPr>
          <c:marker>
            <c:symbol val="none"/>
          </c:marker>
          <c:dLbls>
            <c:delete val="1"/>
          </c:dLbls>
          <c:cat>
            <c:strRef>
              <c:f>Sheet1!$A$2:$A$3</c:f>
              <c:strCache>
                <c:ptCount val="2"/>
                <c:pt idx="0">
                  <c:v>男</c:v>
                </c:pt>
                <c:pt idx="1">
                  <c:v>女</c:v>
                </c:pt>
              </c:strCache>
            </c:strRef>
          </c:cat>
          <c:val>
            <c:numRef>
              <c:f>Sheet1!#REF!</c:f>
              <c:numCache>
                <c:formatCode>General</c:formatCode>
                <c:ptCount val="1"/>
                <c:pt idx="0">
                  <c:v>1</c:v>
                </c:pt>
              </c:numCache>
            </c:numRef>
          </c:val>
          <c:smooth val="0"/>
        </c:ser>
        <c:dLbls>
          <c:showLegendKey val="0"/>
          <c:showVal val="1"/>
          <c:showCatName val="0"/>
          <c:showSerName val="0"/>
          <c:showPercent val="0"/>
          <c:showBubbleSize val="0"/>
        </c:dLbls>
        <c:marker val="0"/>
        <c:smooth val="0"/>
        <c:axId val="613521406"/>
        <c:axId val="629906716"/>
      </c:lineChart>
      <c:lineChart>
        <c:grouping val="standard"/>
        <c:varyColors val="0"/>
        <c:ser>
          <c:idx val="1"/>
          <c:order val="1"/>
          <c:tx>
            <c:strRef>
              <c:f>Sheet1!$C$1</c:f>
              <c:strCache>
                <c:ptCount val="1"/>
                <c:pt idx="0">
                  <c:v>求职 比重 (%)</c:v>
                </c:pt>
              </c:strCache>
            </c:strRef>
          </c:tx>
          <c:spPr>
            <a:ln w="28575" cap="rnd">
              <a:solidFill>
                <a:schemeClr val="accent1"/>
              </a:solidFill>
              <a:round/>
            </a:ln>
            <a:effectLst/>
          </c:spPr>
          <c:marker>
            <c:symbol val="none"/>
          </c:marker>
          <c:dLbls>
            <c:dLbl>
              <c:idx val="0"/>
              <c:layout>
                <c:manualLayout>
                  <c:x val="-0.11957796014068"/>
                  <c:y val="-0.044752544752544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mn-Mong-CN" altLang="en-US">
                        <a:cs typeface="Menk Qagan Tig" charset="0"/>
                      </a:rPr>
                      <a:t>5</a:t>
                    </a:r>
                    <a:r>
                      <a:rPr lang="en-US" altLang="mn-Mong-CN">
                        <a:cs typeface="Menk Qagan Tig" charset="0"/>
                      </a:rPr>
                      <a:t>4</a:t>
                    </a:r>
                    <a:r>
                      <a:rPr lang="mn-Mong-CN" altLang="en-US">
                        <a:cs typeface="Menk Qagan Tig" charset="0"/>
                      </a:rPr>
                      <a:t>.</a:t>
                    </a:r>
                    <a:r>
                      <a:rPr lang="en-US" altLang="mn-Mong-CN">
                        <a:cs typeface="Menk Qagan Tig" charset="0"/>
                      </a:rPr>
                      <a:t>7</a:t>
                    </a:r>
                    <a:r>
                      <a:rPr lang="mn-Mong-CN" altLang="en-US">
                        <a:cs typeface="Menk Qagan Tig" charset="0"/>
                      </a:rPr>
                      <a:t>5</a:t>
                    </a:r>
                    <a:r>
                      <a:rPr lang="en-US" altLang="zh-CN"/>
                      <a:t>%</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33001172332947"/>
                  <c:y val="-0.061608342108342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mn-Mong-CN" altLang="en-US">
                        <a:cs typeface="Menk Qagan Tig" charset="0"/>
                      </a:rPr>
                      <a:t>4</a:t>
                    </a:r>
                    <a:r>
                      <a:rPr lang="en-US" altLang="mn-Mong-CN">
                        <a:cs typeface="Menk Qagan Tig" charset="0"/>
                      </a:rPr>
                      <a:t>5</a:t>
                    </a:r>
                    <a:r>
                      <a:rPr lang="mn-Mong-CN" altLang="en-US">
                        <a:cs typeface="Menk Qagan Tig" charset="0"/>
                      </a:rPr>
                      <a:t>.</a:t>
                    </a:r>
                    <a:r>
                      <a:rPr lang="en-US" altLang="mn-Mong-CN">
                        <a:cs typeface="Menk Qagan Tig" charset="0"/>
                      </a:rPr>
                      <a:t>2</a:t>
                    </a:r>
                    <a:r>
                      <a:rPr lang="mn-Mong-CN" altLang="en-US">
                        <a:cs typeface="Menk Qagan Tig" charset="0"/>
                      </a:rPr>
                      <a:t>5</a:t>
                    </a:r>
                    <a:r>
                      <a:rPr lang="en-US" altLang="zh-CN"/>
                      <a:t>%</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c:v>
                </c:pt>
                <c:pt idx="1">
                  <c:v>女</c:v>
                </c:pt>
              </c:strCache>
            </c:strRef>
          </c:cat>
          <c:val>
            <c:numRef>
              <c:f>Sheet1!$C$2:$C$3</c:f>
              <c:numCache>
                <c:formatCode>#,##0.00</c:formatCode>
                <c:ptCount val="2"/>
                <c:pt idx="0">
                  <c:v>54.75</c:v>
                </c:pt>
                <c:pt idx="1">
                  <c:v>45.25</c:v>
                </c:pt>
              </c:numCache>
            </c:numRef>
          </c:val>
          <c:smooth val="0"/>
        </c:ser>
        <c:dLbls>
          <c:showLegendKey val="0"/>
          <c:showVal val="1"/>
          <c:showCatName val="0"/>
          <c:showSerName val="0"/>
          <c:showPercent val="0"/>
          <c:showBubbleSize val="0"/>
        </c:dLbls>
        <c:marker val="0"/>
        <c:smooth val="0"/>
        <c:axId val="709523982"/>
        <c:axId val="729276405"/>
      </c:lineChart>
      <c:catAx>
        <c:axId val="6135214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906716"/>
        <c:crosses val="autoZero"/>
        <c:auto val="1"/>
        <c:lblAlgn val="ctr"/>
        <c:lblOffset val="100"/>
        <c:noMultiLvlLbl val="0"/>
      </c:catAx>
      <c:valAx>
        <c:axId val="6299067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521406"/>
        <c:crosses val="autoZero"/>
        <c:crossBetween val="between"/>
      </c:valAx>
      <c:catAx>
        <c:axId val="709523982"/>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276405"/>
        <c:crosses val="autoZero"/>
        <c:auto val="1"/>
        <c:lblAlgn val="ctr"/>
        <c:lblOffset val="100"/>
        <c:noMultiLvlLbl val="0"/>
      </c:catAx>
      <c:valAx>
        <c:axId val="729276405"/>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9523982"/>
        <c:crosses val="max"/>
        <c:crossBetween val="between"/>
      </c:valAx>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按年龄分组供求人数</a:t>
            </a:r>
          </a:p>
        </c:rich>
      </c:tx>
      <c:layout/>
      <c:overlay val="1"/>
      <c:spPr>
        <a:noFill/>
        <a:ln>
          <a:noFill/>
        </a:ln>
        <a:effectLst/>
      </c:spPr>
    </c:title>
    <c:autoTitleDeleted val="0"/>
    <c:plotArea>
      <c:layout>
        <c:manualLayout>
          <c:layoutTarget val="inner"/>
          <c:xMode val="edge"/>
          <c:yMode val="edge"/>
          <c:x val="0.0554389140271493"/>
          <c:y val="0.102750809061489"/>
          <c:w val="0.902515837104072"/>
          <c:h val="0.770685005393743"/>
        </c:manualLayout>
      </c:layout>
      <c:barChart>
        <c:barDir val="col"/>
        <c:grouping val="clustered"/>
        <c:varyColors val="0"/>
        <c:ser>
          <c:idx val="0"/>
          <c:order val="0"/>
          <c:tx>
            <c:strRef>
              <c:f>Sheet1!$B$1</c:f>
              <c:strCache>
                <c:ptCount val="1"/>
                <c:pt idx="0">
                  <c:v>需求人数 (人)</c:v>
                </c:pt>
              </c:strCache>
            </c:strRef>
          </c:tx>
          <c:spPr>
            <a:solidFill>
              <a:schemeClr val="accent1">
                <a:shade val="58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Sheet1!$B$2:$B$6</c:f>
              <c:numCache>
                <c:formatCode>#,##0</c:formatCode>
                <c:ptCount val="5"/>
                <c:pt idx="0">
                  <c:v>1771</c:v>
                </c:pt>
                <c:pt idx="1">
                  <c:v>3990</c:v>
                </c:pt>
                <c:pt idx="2">
                  <c:v>3877</c:v>
                </c:pt>
                <c:pt idx="3">
                  <c:v>1420</c:v>
                </c:pt>
                <c:pt idx="4">
                  <c:v>3973</c:v>
                </c:pt>
              </c:numCache>
            </c:numRef>
          </c:val>
        </c:ser>
        <c:ser>
          <c:idx val="2"/>
          <c:order val="2"/>
          <c:tx>
            <c:strRef>
              <c:f>Sheet1!$D$1</c:f>
              <c:strCache>
                <c:ptCount val="1"/>
                <c:pt idx="0">
                  <c:v>求职人数 (人)</c:v>
                </c:pt>
              </c:strCache>
            </c:strRef>
          </c:tx>
          <c:spPr>
            <a:solidFill>
              <a:schemeClr val="accent1">
                <a:tint val="86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Sheet1!$D$2:$D$6</c:f>
              <c:numCache>
                <c:formatCode>#,##0</c:formatCode>
                <c:ptCount val="5"/>
                <c:pt idx="0">
                  <c:v>1890</c:v>
                </c:pt>
                <c:pt idx="1">
                  <c:v>3663</c:v>
                </c:pt>
                <c:pt idx="2">
                  <c:v>3884</c:v>
                </c:pt>
                <c:pt idx="3">
                  <c:v>2260</c:v>
                </c:pt>
                <c:pt idx="4" c:formatCode="General">
                  <c:v>0</c:v>
                </c:pt>
              </c:numCache>
            </c:numRef>
          </c:val>
        </c:ser>
        <c:dLbls>
          <c:showLegendKey val="0"/>
          <c:showVal val="1"/>
          <c:showCatName val="0"/>
          <c:showSerName val="0"/>
          <c:showPercent val="0"/>
          <c:showBubbleSize val="0"/>
        </c:dLbls>
        <c:gapWidth val="219"/>
        <c:overlap val="-27"/>
        <c:axId val="663119177"/>
        <c:axId val="783325124"/>
      </c:barChart>
      <c:lineChart>
        <c:grouping val="standard"/>
        <c:varyColors val="0"/>
        <c:ser>
          <c:idx val="1"/>
          <c:order val="1"/>
          <c:tx>
            <c:strRef>
              <c:f>Sheet1!$C$1</c:f>
              <c:strCache>
                <c:ptCount val="1"/>
                <c:pt idx="0">
                  <c:v>需求比重(%)</c:v>
                </c:pt>
              </c:strCache>
            </c:strRef>
          </c:tx>
          <c:spPr>
            <a:ln w="28575" cap="rnd">
              <a:solidFill>
                <a:schemeClr val="accent1">
                  <a:shade val="86000"/>
                </a:schemeClr>
              </a:solidFill>
              <a:round/>
            </a:ln>
            <a:effectLst/>
          </c:spPr>
          <c:marker>
            <c:symbol val="none"/>
          </c:marker>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39.92%</a:t>
                    </a:r>
                    <a:endParaRPr lang="en-US" altLang="zh-CN"/>
                  </a:p>
                </c:rich>
              </c:tx>
              <c:numFmt formatCode="_ * #,##0.00_ ;_ * \-#,##0.00_ ;_ * &quot;-&quot;??_ ;_ @_ "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Sheet1!$C$2:$C$6</c:f>
              <c:numCache>
                <c:formatCode>#,##0.00</c:formatCode>
                <c:ptCount val="5"/>
                <c:pt idx="0">
                  <c:v>11.78</c:v>
                </c:pt>
                <c:pt idx="1">
                  <c:v>26.55</c:v>
                </c:pt>
                <c:pt idx="2">
                  <c:v>25.79</c:v>
                </c:pt>
                <c:pt idx="3">
                  <c:v>9.45</c:v>
                </c:pt>
                <c:pt idx="4">
                  <c:v>26.43</c:v>
                </c:pt>
              </c:numCache>
            </c:numRef>
          </c:val>
          <c:smooth val="0"/>
        </c:ser>
        <c:ser>
          <c:idx val="3"/>
          <c:order val="3"/>
          <c:tx>
            <c:strRef>
              <c:f>Sheet1!$E$1</c:f>
              <c:strCache>
                <c:ptCount val="1"/>
                <c:pt idx="0">
                  <c:v>求职比重(%)</c:v>
                </c:pt>
              </c:strCache>
            </c:strRef>
          </c:tx>
          <c:spPr>
            <a:ln w="28575" cap="rnd">
              <a:solidFill>
                <a:schemeClr val="accent1">
                  <a:tint val="58000"/>
                </a:schemeClr>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Sheet1!$E$2:$E$6</c:f>
              <c:numCache>
                <c:formatCode>#,##0.00</c:formatCode>
                <c:ptCount val="5"/>
                <c:pt idx="0">
                  <c:v>16.16</c:v>
                </c:pt>
                <c:pt idx="1">
                  <c:v>31.32</c:v>
                </c:pt>
                <c:pt idx="2">
                  <c:v>33.21</c:v>
                </c:pt>
                <c:pt idx="3">
                  <c:v>19.32</c:v>
                </c:pt>
                <c:pt idx="4" c:formatCode="General">
                  <c:v>0</c:v>
                </c:pt>
              </c:numCache>
            </c:numRef>
          </c:val>
          <c:smooth val="0"/>
        </c:ser>
        <c:dLbls>
          <c:showLegendKey val="0"/>
          <c:showVal val="1"/>
          <c:showCatName val="0"/>
          <c:showSerName val="0"/>
          <c:showPercent val="0"/>
          <c:showBubbleSize val="0"/>
        </c:dLbls>
        <c:marker val="0"/>
        <c:smooth val="0"/>
        <c:axId val="828197396"/>
        <c:axId val="626198403"/>
      </c:lineChart>
      <c:catAx>
        <c:axId val="6631191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3325124"/>
        <c:crosses val="autoZero"/>
        <c:auto val="1"/>
        <c:lblAlgn val="ctr"/>
        <c:lblOffset val="100"/>
        <c:noMultiLvlLbl val="0"/>
      </c:catAx>
      <c:valAx>
        <c:axId val="7833251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3119177"/>
        <c:crosses val="autoZero"/>
        <c:crossBetween val="between"/>
      </c:valAx>
      <c:catAx>
        <c:axId val="828197396"/>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6198403"/>
        <c:crosses val="autoZero"/>
        <c:auto val="1"/>
        <c:lblAlgn val="ctr"/>
        <c:lblOffset val="100"/>
        <c:noMultiLvlLbl val="0"/>
      </c:catAx>
      <c:valAx>
        <c:axId val="626198403"/>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8197396"/>
        <c:crosses val="max"/>
        <c:crossBetween val="between"/>
      </c:valAx>
      <c:spPr>
        <a:noFill/>
        <a:ln>
          <a:noFill/>
        </a:ln>
        <a:effectLst/>
      </c:spPr>
    </c:plotArea>
    <c:legend>
      <c:legendPos val="b"/>
      <c:layout>
        <c:manualLayout>
          <c:xMode val="edge"/>
          <c:yMode val="edge"/>
          <c:x val="0.202268569337724"/>
          <c:y val="0.926246350167622"/>
          <c:w val="0.591511159897548"/>
          <c:h val="0.06077646804368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按文化程度分组的供求人数</a:t>
            </a:r>
          </a:p>
        </c:rich>
      </c:tx>
      <c:layout>
        <c:manualLayout>
          <c:xMode val="edge"/>
          <c:yMode val="edge"/>
          <c:x val="0.36710813454737"/>
          <c:y val="0.0190421234852856"/>
        </c:manualLayout>
      </c:layout>
      <c:overlay val="0"/>
      <c:spPr>
        <a:noFill/>
        <a:ln>
          <a:noFill/>
        </a:ln>
        <a:effectLst/>
      </c:spPr>
    </c:title>
    <c:autoTitleDeleted val="0"/>
    <c:plotArea>
      <c:layout>
        <c:manualLayout>
          <c:layoutTarget val="inner"/>
          <c:xMode val="edge"/>
          <c:yMode val="edge"/>
          <c:x val="0.0397358517361358"/>
          <c:y val="0.0147888073199277"/>
          <c:w val="0.912504437974863"/>
          <c:h val="0.683093946164486"/>
        </c:manualLayout>
      </c:layout>
      <c:barChart>
        <c:barDir val="col"/>
        <c:grouping val="clustered"/>
        <c:varyColors val="0"/>
        <c:ser>
          <c:idx val="0"/>
          <c:order val="0"/>
          <c:tx>
            <c:strRef>
              <c:f>Sheet1!$B$1</c:f>
              <c:strCache>
                <c:ptCount val="1"/>
                <c:pt idx="0">
                  <c:v>需求人数 (人)</c:v>
                </c:pt>
              </c:strCache>
            </c:strRef>
          </c:tx>
          <c:spPr>
            <a:solidFill>
              <a:schemeClr val="accent1">
                <a:shade val="58000"/>
              </a:schemeClr>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Sheet1!$B$2:$B$8</c:f>
              <c:numCache>
                <c:formatCode>#,##0</c:formatCode>
                <c:ptCount val="7"/>
                <c:pt idx="0">
                  <c:v>143</c:v>
                </c:pt>
                <c:pt idx="1">
                  <c:v>1031</c:v>
                </c:pt>
                <c:pt idx="2">
                  <c:v>372</c:v>
                </c:pt>
                <c:pt idx="3">
                  <c:v>3150</c:v>
                </c:pt>
                <c:pt idx="4">
                  <c:v>1616</c:v>
                </c:pt>
                <c:pt idx="5">
                  <c:v>51</c:v>
                </c:pt>
                <c:pt idx="6">
                  <c:v>9040</c:v>
                </c:pt>
              </c:numCache>
            </c:numRef>
          </c:val>
        </c:ser>
        <c:ser>
          <c:idx val="2"/>
          <c:order val="2"/>
          <c:tx>
            <c:strRef>
              <c:f>Sheet1!$D$1</c:f>
              <c:strCache>
                <c:ptCount val="1"/>
                <c:pt idx="0">
                  <c:v>求职人数 (人)</c:v>
                </c:pt>
              </c:strCache>
            </c:strRef>
          </c:tx>
          <c:spPr>
            <a:solidFill>
              <a:schemeClr val="accent1">
                <a:tint val="86000"/>
              </a:schemeClr>
            </a:solidFill>
            <a:ln>
              <a:noFill/>
            </a:ln>
            <a:effectLst/>
          </c:spPr>
          <c:invertIfNegative val="0"/>
          <c:dLbls>
            <c:dLbl>
              <c:idx val="4"/>
              <c:layout>
                <c:manualLayout>
                  <c:x val="0.00112875310407104"/>
                  <c:y val="0.060588574725908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Sheet1!$D$2:$D$8</c:f>
              <c:numCache>
                <c:formatCode>#,##0</c:formatCode>
                <c:ptCount val="7"/>
                <c:pt idx="0">
                  <c:v>724</c:v>
                </c:pt>
                <c:pt idx="1">
                  <c:v>2268</c:v>
                </c:pt>
                <c:pt idx="2">
                  <c:v>1083</c:v>
                </c:pt>
                <c:pt idx="3">
                  <c:v>4913</c:v>
                </c:pt>
                <c:pt idx="4">
                  <c:v>3725</c:v>
                </c:pt>
                <c:pt idx="5">
                  <c:v>67</c:v>
                </c:pt>
              </c:numCache>
            </c:numRef>
          </c:val>
        </c:ser>
        <c:dLbls>
          <c:showLegendKey val="0"/>
          <c:showVal val="1"/>
          <c:showCatName val="0"/>
          <c:showSerName val="0"/>
          <c:showPercent val="0"/>
          <c:showBubbleSize val="0"/>
        </c:dLbls>
        <c:gapWidth val="219"/>
        <c:overlap val="-27"/>
        <c:axId val="998641018"/>
        <c:axId val="828969104"/>
      </c:barChart>
      <c:lineChart>
        <c:grouping val="standard"/>
        <c:varyColors val="0"/>
        <c:ser>
          <c:idx val="1"/>
          <c:order val="1"/>
          <c:tx>
            <c:strRef>
              <c:f>Sheet1!$C$1</c:f>
              <c:strCache>
                <c:ptCount val="1"/>
                <c:pt idx="0">
                  <c:v>需求比重(%)</c:v>
                </c:pt>
              </c:strCache>
            </c:strRef>
          </c:tx>
          <c:spPr>
            <a:ln w="28575" cap="rnd">
              <a:solidFill>
                <a:schemeClr val="accent1">
                  <a:shade val="86000"/>
                </a:schemeClr>
              </a:solidFill>
              <a:round/>
            </a:ln>
            <a:effectLst/>
          </c:spPr>
          <c:marker>
            <c:symbol val="none"/>
          </c:marker>
          <c:dLbls>
            <c:dLbl>
              <c:idx val="0"/>
              <c:layout>
                <c:manualLayout>
                  <c:x val="-0.0583637944030122"/>
                  <c:y val="-0.06081997771797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32938925285233"/>
                  <c:y val="-0.04736197703565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69246742970615"/>
                  <c:y val="-0.01814707301798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17819299764631"/>
                  <c:y val="0.03085821397434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18582688347653"/>
                  <c:y val="-0.03372699223321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809037881674454"/>
                  <c:y val="-0.008026501204809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Sheet1!$C$2:$C$8</c:f>
              <c:numCache>
                <c:formatCode>#,##0.00</c:formatCode>
                <c:ptCount val="7"/>
                <c:pt idx="0">
                  <c:v>0.95</c:v>
                </c:pt>
                <c:pt idx="1">
                  <c:v>6.86</c:v>
                </c:pt>
                <c:pt idx="2">
                  <c:v>36.08</c:v>
                </c:pt>
                <c:pt idx="3">
                  <c:v>20.96</c:v>
                </c:pt>
                <c:pt idx="4">
                  <c:v>10.75</c:v>
                </c:pt>
                <c:pt idx="5">
                  <c:v>0.34</c:v>
                </c:pt>
                <c:pt idx="6">
                  <c:v>60.14</c:v>
                </c:pt>
              </c:numCache>
            </c:numRef>
          </c:val>
          <c:smooth val="0"/>
        </c:ser>
        <c:ser>
          <c:idx val="3"/>
          <c:order val="3"/>
          <c:tx>
            <c:strRef>
              <c:f>Sheet1!$E$1</c:f>
              <c:strCache>
                <c:ptCount val="1"/>
                <c:pt idx="0">
                  <c:v>求职比重 (%)</c:v>
                </c:pt>
              </c:strCache>
            </c:strRef>
          </c:tx>
          <c:spPr>
            <a:ln w="28575" cap="rnd">
              <a:solidFill>
                <a:schemeClr val="accent1">
                  <a:tint val="58000"/>
                </a:schemeClr>
              </a:solidFill>
              <a:round/>
            </a:ln>
            <a:effectLst/>
          </c:spPr>
          <c:marker>
            <c:symbol val="none"/>
          </c:marker>
          <c:dLbls>
            <c:dLbl>
              <c:idx val="0"/>
              <c:layout>
                <c:manualLayout>
                  <c:x val="-0.012040033110091"/>
                  <c:y val="-0.04647113813718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16339430146101"/>
                  <c:y val="-0.03254472013848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30895405808422"/>
                  <c:y val="0.05851686349611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20712916282042"/>
                  <c:y val="-0.0531971486328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11274621005564"/>
                  <c:y val="-0.0538579843026355"/>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472571299571074"/>
                      <c:h val="0.045931909982689"/>
                    </c:manualLayout>
                  </c15:layout>
                </c:ext>
              </c:extLst>
            </c:dLbl>
            <c:dLbl>
              <c:idx val="5"/>
              <c:layout>
                <c:manualLayout>
                  <c:x val="0.0116539663663796"/>
                  <c:y val="-0.03686860156944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Sheet1!$E$2:$E$8</c:f>
              <c:numCache>
                <c:formatCode>#,##0.00</c:formatCode>
                <c:ptCount val="7"/>
                <c:pt idx="0">
                  <c:v>6.19</c:v>
                </c:pt>
                <c:pt idx="1">
                  <c:v>19.39</c:v>
                </c:pt>
                <c:pt idx="2">
                  <c:v>47.75</c:v>
                </c:pt>
                <c:pt idx="3">
                  <c:v>42</c:v>
                </c:pt>
                <c:pt idx="4">
                  <c:v>31.85</c:v>
                </c:pt>
                <c:pt idx="5">
                  <c:v>0.57</c:v>
                </c:pt>
              </c:numCache>
            </c:numRef>
          </c:val>
          <c:smooth val="0"/>
        </c:ser>
        <c:dLbls>
          <c:showLegendKey val="0"/>
          <c:showVal val="1"/>
          <c:showCatName val="0"/>
          <c:showSerName val="0"/>
          <c:showPercent val="0"/>
          <c:showBubbleSize val="0"/>
        </c:dLbls>
        <c:marker val="0"/>
        <c:smooth val="0"/>
        <c:axId val="578059096"/>
        <c:axId val="125148315"/>
      </c:lineChart>
      <c:catAx>
        <c:axId val="9986410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a:outerShdw blurRad="50800" dist="50800" dir="5400000" sx="1000" sy="1000" algn="ctr" rotWithShape="0">
              <a:schemeClr val="tx1">
                <a:alpha val="43000"/>
              </a:schemeClr>
            </a:outerShdw>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8969104"/>
        <c:crosses val="autoZero"/>
        <c:auto val="1"/>
        <c:lblAlgn val="ctr"/>
        <c:lblOffset val="100"/>
        <c:noMultiLvlLbl val="0"/>
      </c:catAx>
      <c:valAx>
        <c:axId val="828969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641018"/>
        <c:crosses val="autoZero"/>
        <c:crossBetween val="between"/>
      </c:valAx>
      <c:catAx>
        <c:axId val="578059096"/>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148315"/>
        <c:crosses val="autoZero"/>
        <c:auto val="1"/>
        <c:lblAlgn val="ctr"/>
        <c:lblOffset val="100"/>
        <c:noMultiLvlLbl val="0"/>
      </c:catAx>
      <c:valAx>
        <c:axId val="125148315"/>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059096"/>
        <c:crosses val="max"/>
        <c:crossBetween val="between"/>
      </c:valAx>
      <c:spPr>
        <a:noFill/>
        <a:ln>
          <a:noFill/>
        </a:ln>
        <a:effectLst/>
      </c:spPr>
    </c:plotArea>
    <c:legend>
      <c:legendPos val="b"/>
      <c:layout>
        <c:manualLayout>
          <c:xMode val="edge"/>
          <c:yMode val="edge"/>
          <c:x val="0.274373357949301"/>
          <c:y val="0.903925949569103"/>
          <c:w val="0.538450614215721"/>
          <c:h val="0.08330673475901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7066</Words>
  <Characters>10545</Characters>
  <Lines>0</Lines>
  <Paragraphs>0</Paragraphs>
  <TotalTime>81</TotalTime>
  <ScaleCrop>false</ScaleCrop>
  <LinksUpToDate>false</LinksUpToDate>
  <CharactersWithSpaces>10677</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cindydoudou</dc:creator>
  <cp:lastModifiedBy>inspur</cp:lastModifiedBy>
  <cp:lastPrinted>2024-07-23T09:49:00Z</cp:lastPrinted>
  <dcterms:modified xsi:type="dcterms:W3CDTF">2024-11-29T15:24:28Z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9063ED3C16E5446C8113E1F66765B513</vt:lpwstr>
  </property>
</Properties>
</file>